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auto"/>
        <w:jc w:val="center"/>
        <w:textAlignment w:val="auto"/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eastAsia="zh-Hans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XXXX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Hans" w:bidi="ar"/>
        </w:rPr>
        <w:t>商业计划书</w:t>
      </w:r>
      <w:r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eastAsia="zh-Hans" w:bidi="ar"/>
        </w:rPr>
        <w:t>（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Hans" w:bidi="ar"/>
        </w:rPr>
        <w:t>参考模板</w:t>
      </w:r>
      <w:r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eastAsia="zh-Hans" w:bidi="ar"/>
        </w:rPr>
        <w:t>）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Hans" w:bidi="ar"/>
        </w:rPr>
      </w:pP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auto"/>
        <w:jc w:val="left"/>
        <w:textAlignment w:val="auto"/>
        <w:rPr>
          <w:rFonts w:hint="default" w:ascii="黑体" w:hAnsi="黑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一、项目概述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项目基本信息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Hans" w:bidi="ar"/>
        </w:rPr>
        <w:t>行业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分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析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项目发展概况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Hans" w:bidi="ar"/>
        </w:rPr>
        <w:t>与融资需求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项目技术对比（项目技术性能水平与国内外同类项目的比较）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项目核心优势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Hans" w:bidi="ar"/>
        </w:rPr>
        <w:t>核心团队简介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auto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项目必要性及可行性分析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项目必要性分析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auto"/>
        <w:ind w:left="0" w:lef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项目可行性分析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auto"/>
        <w:jc w:val="left"/>
        <w:textAlignment w:val="auto"/>
        <w:rPr>
          <w:rFonts w:hint="default" w:ascii="黑体" w:hAnsi="黑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项目市场分析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SWOT分析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市场竞争分析与发展预测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auto"/>
        <w:ind w:left="0" w:lef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STP战略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auto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产品方案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auto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商业模式及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Hans" w:bidi="ar"/>
        </w:rPr>
        <w:t>发展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战略</w:t>
      </w:r>
    </w:p>
    <w:p>
      <w:pPr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商业模式</w:t>
      </w:r>
    </w:p>
    <w:p>
      <w:pPr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auto"/>
        <w:ind w:left="0" w:lef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经营目标</w:t>
      </w:r>
    </w:p>
    <w:p>
      <w:pPr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auto"/>
        <w:ind w:left="0" w:lef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总体战略</w:t>
      </w:r>
    </w:p>
    <w:p>
      <w:pPr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auto"/>
        <w:ind w:left="0" w:lef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营销计划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auto"/>
        <w:jc w:val="left"/>
        <w:textAlignment w:val="auto"/>
        <w:rPr>
          <w:rFonts w:hint="default" w:ascii="黑体" w:hAnsi="黑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投资效益分析</w:t>
      </w:r>
    </w:p>
    <w:p>
      <w:pPr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经济效益分析</w:t>
      </w:r>
    </w:p>
    <w:p>
      <w:pPr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auto"/>
        <w:ind w:left="0" w:lef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社会效益分析</w:t>
      </w:r>
    </w:p>
    <w:p>
      <w:pPr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auto"/>
        <w:ind w:left="0" w:lef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其他效益分析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auto"/>
        <w:jc w:val="left"/>
        <w:textAlignment w:val="auto"/>
        <w:rPr>
          <w:rFonts w:hint="default" w:ascii="黑体" w:hAnsi="黑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融资计划与投资估算</w:t>
      </w:r>
    </w:p>
    <w:p>
      <w:pPr>
        <w:keepNext w:val="0"/>
        <w:keepLines w:val="0"/>
        <w:pageBreakBefore w:val="0"/>
        <w:widowControl/>
        <w:numPr>
          <w:ilvl w:val="0"/>
          <w:numId w:val="7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成本分析</w:t>
      </w:r>
    </w:p>
    <w:p>
      <w:pPr>
        <w:keepNext w:val="0"/>
        <w:keepLines w:val="0"/>
        <w:pageBreakBefore w:val="0"/>
        <w:widowControl/>
        <w:numPr>
          <w:ilvl w:val="0"/>
          <w:numId w:val="7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auto"/>
        <w:ind w:left="0" w:lef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财务能力分析</w:t>
      </w:r>
    </w:p>
    <w:p>
      <w:pPr>
        <w:keepNext w:val="0"/>
        <w:keepLines w:val="0"/>
        <w:pageBreakBefore w:val="0"/>
        <w:widowControl/>
        <w:numPr>
          <w:ilvl w:val="0"/>
          <w:numId w:val="7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auto"/>
        <w:ind w:left="0" w:lef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投资估算及融资计划</w:t>
      </w:r>
    </w:p>
    <w:p>
      <w:pPr>
        <w:keepNext w:val="0"/>
        <w:keepLines w:val="0"/>
        <w:pageBreakBefore w:val="0"/>
        <w:widowControl/>
        <w:numPr>
          <w:ilvl w:val="0"/>
          <w:numId w:val="7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auto"/>
        <w:ind w:left="0" w:lef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投放资金使用计划</w:t>
      </w:r>
    </w:p>
    <w:p>
      <w:pPr>
        <w:keepNext w:val="0"/>
        <w:keepLines w:val="0"/>
        <w:pageBreakBefore w:val="0"/>
        <w:widowControl/>
        <w:numPr>
          <w:ilvl w:val="0"/>
          <w:numId w:val="7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auto"/>
        <w:ind w:left="0" w:lef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投资回收及项目生命周期分析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auto"/>
        <w:jc w:val="left"/>
        <w:textAlignment w:val="auto"/>
        <w:rPr>
          <w:rFonts w:hint="default" w:ascii="黑体" w:hAnsi="黑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项目实施计划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auto"/>
        <w:jc w:val="left"/>
        <w:textAlignment w:val="auto"/>
        <w:rPr>
          <w:rFonts w:hint="default" w:ascii="黑体" w:hAnsi="黑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风险预测与控制</w:t>
      </w:r>
    </w:p>
    <w:p>
      <w:pPr>
        <w:keepNext w:val="0"/>
        <w:keepLines w:val="0"/>
        <w:pageBreakBefore w:val="0"/>
        <w:widowControl/>
        <w:numPr>
          <w:ilvl w:val="0"/>
          <w:numId w:val="8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风险预测</w:t>
      </w:r>
    </w:p>
    <w:p>
      <w:pPr>
        <w:keepNext w:val="0"/>
        <w:keepLines w:val="0"/>
        <w:pageBreakBefore w:val="0"/>
        <w:widowControl/>
        <w:numPr>
          <w:ilvl w:val="0"/>
          <w:numId w:val="8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auto"/>
        <w:ind w:left="0" w:lef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风险控制方案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auto"/>
        <w:jc w:val="left"/>
        <w:textAlignment w:val="auto"/>
        <w:rPr>
          <w:rFonts w:hint="default" w:ascii="黑体" w:hAnsi="黑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组织管理及人力资源配置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auto"/>
        <w:jc w:val="left"/>
        <w:textAlignment w:val="auto"/>
        <w:rPr>
          <w:rFonts w:hint="default" w:ascii="黑体" w:hAnsi="黑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项目环境生态及卫生安全说明（若不涉及则本章节不填写）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auto"/>
        <w:jc w:val="left"/>
        <w:textAlignment w:val="auto"/>
        <w:rPr>
          <w:rFonts w:hint="default" w:ascii="黑体" w:hAnsi="黑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方正小标宋简体">
    <w:altName w:val="汉仪书宋二KW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C754989"/>
    <w:multiLevelType w:val="singleLevel"/>
    <w:tmpl w:val="8C754989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8FFC4C5C"/>
    <w:multiLevelType w:val="singleLevel"/>
    <w:tmpl w:val="8FFC4C5C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B0E4F3B3"/>
    <w:multiLevelType w:val="singleLevel"/>
    <w:tmpl w:val="B0E4F3B3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3">
    <w:nsid w:val="D23C8E97"/>
    <w:multiLevelType w:val="singleLevel"/>
    <w:tmpl w:val="D23C8E97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4">
    <w:nsid w:val="00F6C0BE"/>
    <w:multiLevelType w:val="singleLevel"/>
    <w:tmpl w:val="00F6C0BE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5">
    <w:nsid w:val="054BECF1"/>
    <w:multiLevelType w:val="singleLevel"/>
    <w:tmpl w:val="054BECF1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6">
    <w:nsid w:val="2A273C3A"/>
    <w:multiLevelType w:val="singleLevel"/>
    <w:tmpl w:val="2A273C3A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7">
    <w:nsid w:val="2E7CA792"/>
    <w:multiLevelType w:val="singleLevel"/>
    <w:tmpl w:val="2E7CA792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4"/>
  </w:num>
  <w:num w:numId="5">
    <w:abstractNumId w:val="7"/>
  </w:num>
  <w:num w:numId="6">
    <w:abstractNumId w:val="5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3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937DA0"/>
    <w:rsid w:val="00015530"/>
    <w:rsid w:val="01302216"/>
    <w:rsid w:val="027555E0"/>
    <w:rsid w:val="03CC022D"/>
    <w:rsid w:val="063B0F16"/>
    <w:rsid w:val="092E6B9D"/>
    <w:rsid w:val="1746216E"/>
    <w:rsid w:val="17AA59EA"/>
    <w:rsid w:val="18E34DEF"/>
    <w:rsid w:val="19C34035"/>
    <w:rsid w:val="1B937DA0"/>
    <w:rsid w:val="1D39379D"/>
    <w:rsid w:val="224C78ED"/>
    <w:rsid w:val="27536016"/>
    <w:rsid w:val="291B56F9"/>
    <w:rsid w:val="315F69C0"/>
    <w:rsid w:val="384B5B62"/>
    <w:rsid w:val="3A2D5331"/>
    <w:rsid w:val="418E6D9D"/>
    <w:rsid w:val="47C31C11"/>
    <w:rsid w:val="49D229E2"/>
    <w:rsid w:val="4F97524E"/>
    <w:rsid w:val="514C1A8A"/>
    <w:rsid w:val="51775C83"/>
    <w:rsid w:val="575327D6"/>
    <w:rsid w:val="577237E8"/>
    <w:rsid w:val="5C6C07D5"/>
    <w:rsid w:val="5C972F81"/>
    <w:rsid w:val="5EC052A4"/>
    <w:rsid w:val="619C7C34"/>
    <w:rsid w:val="64A357A0"/>
    <w:rsid w:val="6AB9791D"/>
    <w:rsid w:val="6BCD6A88"/>
    <w:rsid w:val="6CB044E2"/>
    <w:rsid w:val="749214F7"/>
    <w:rsid w:val="7AC82784"/>
    <w:rsid w:val="7E40161F"/>
    <w:rsid w:val="7FAB76CF"/>
    <w:rsid w:val="7FDE24A9"/>
    <w:rsid w:val="EBCFEF98"/>
    <w:rsid w:val="FEFF1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Office_3.9.2.6301_F1E327BC-269C-435d-A152-05C5408002CA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2022-03-15T18:06:00Z</dcterms:created>
  <dc:creator>不退转</dc:creator>
  <cp:lastModifiedBy>impreza</cp:lastModifiedBy>
  <dcterms:modified xsi:type="dcterms:W3CDTF">2022-03-17T14:20:32Z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2052-3.9.2.6301</vt:lpwstr>
  </property>
  <property fmtid="{D5CDD505-2E9C-101B-9397-08002B2CF9AE}" pid="3" name="ICV">
    <vt:lpwstr>861D9BD6A2B945CB87C3E9A2C599E86F</vt:lpwstr>
  </property>
</Properties>
</file>