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EFF9" w14:textId="77777777" w:rsidR="00D91727" w:rsidRPr="00374CD4" w:rsidRDefault="00B720BC" w:rsidP="00374CD4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</w:pPr>
      <w:r w:rsidRPr="00374CD4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兰州大学二级网站评价指标</w:t>
      </w:r>
      <w:r w:rsidR="0045112C" w:rsidRPr="00374CD4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-</w:t>
      </w:r>
      <w:r w:rsidR="001F051C" w:rsidRPr="00374CD4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实验</w:t>
      </w:r>
      <w:r w:rsidR="00947690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室</w:t>
      </w:r>
      <w:r w:rsidR="001F051C" w:rsidRPr="00374CD4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及研究基地</w:t>
      </w:r>
      <w:r w:rsidR="0045112C" w:rsidRPr="00374CD4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类</w:t>
      </w:r>
    </w:p>
    <w:p w14:paraId="5E9CFF3E" w14:textId="77777777" w:rsidR="00374CD4" w:rsidRPr="00374CD4" w:rsidRDefault="00374CD4" w:rsidP="00374CD4">
      <w:pPr>
        <w:spacing w:line="540" w:lineRule="exact"/>
        <w:rPr>
          <w:rFonts w:ascii="方正小标宋简体" w:eastAsia="方正小标宋简体" w:hAnsi="黑体" w:cs="宋体"/>
          <w:bCs/>
          <w:color w:val="000000"/>
          <w:kern w:val="0"/>
        </w:rPr>
      </w:pPr>
      <w:r w:rsidRPr="00374C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  <w:r w:rsidRPr="00374CD4">
        <w:rPr>
          <w:rFonts w:ascii="仿宋_GB2312" w:eastAsia="仿宋_GB2312" w:hint="eastAsia"/>
          <w:sz w:val="32"/>
          <w:szCs w:val="32"/>
        </w:rPr>
        <w:t>实验室及研究基地类网站的评价指标综合</w:t>
      </w:r>
      <w:r>
        <w:rPr>
          <w:rFonts w:ascii="仿宋_GB2312" w:eastAsia="仿宋_GB2312" w:hint="eastAsia"/>
          <w:sz w:val="32"/>
          <w:szCs w:val="32"/>
        </w:rPr>
        <w:t>了该类单位</w:t>
      </w:r>
      <w:r w:rsidRPr="00374CD4">
        <w:rPr>
          <w:rFonts w:ascii="仿宋_GB2312" w:eastAsia="仿宋_GB2312" w:hint="eastAsia"/>
          <w:sz w:val="32"/>
          <w:szCs w:val="32"/>
        </w:rPr>
        <w:t>中英文版网站建设情况。</w:t>
      </w:r>
    </w:p>
    <w:tbl>
      <w:tblPr>
        <w:tblW w:w="10438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1320"/>
        <w:gridCol w:w="1463"/>
        <w:gridCol w:w="6804"/>
        <w:gridCol w:w="851"/>
      </w:tblGrid>
      <w:tr w:rsidR="00D91727" w:rsidRPr="003D4DA7" w14:paraId="0EC10FF0" w14:textId="77777777" w:rsidTr="001227B0">
        <w:trPr>
          <w:trHeight w:val="51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AEB" w14:textId="77777777" w:rsidR="00575094" w:rsidRPr="003D4DA7" w:rsidRDefault="00B720BC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一级指标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4AB4" w14:textId="77777777"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二级指标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B35C" w14:textId="77777777"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具 体 标 准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8D57" w14:textId="77777777"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</w:tr>
      <w:tr w:rsidR="00D91727" w:rsidRPr="003D4DA7" w14:paraId="75C3515E" w14:textId="77777777" w:rsidTr="001227B0">
        <w:trPr>
          <w:trHeight w:val="29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1430" w14:textId="77777777" w:rsidR="00575094" w:rsidRPr="003D4DA7" w:rsidRDefault="00B720BC" w:rsidP="00945F72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bookmarkStart w:id="0" w:name="_Hlk510426178"/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组织管理（</w:t>
            </w:r>
            <w:bookmarkEnd w:id="0"/>
            <w:r w:rsidR="00945F72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15</w:t>
            </w: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分）</w:t>
            </w:r>
            <w:r w:rsidRPr="003D4DA7">
              <w:rPr>
                <w:rFonts w:eastAsia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34CB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管理体制</w:t>
            </w:r>
          </w:p>
          <w:p w14:paraId="4092062F" w14:textId="77777777" w:rsidR="00575094" w:rsidRPr="003D4DA7" w:rsidRDefault="00B720BC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分）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FE46" w14:textId="77777777" w:rsidR="00575094" w:rsidRPr="003D4DA7" w:rsidRDefault="00B720B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1" w:name="OLE_LINK3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是否有分管领导：有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分、没有0分；</w:t>
            </w:r>
          </w:p>
          <w:p w14:paraId="5D3E9746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是否有网站管理员：</w:t>
            </w:r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14:paraId="453E3C16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是否纳入本单位的日常性工作：纳入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分、未纳入0分；</w:t>
            </w:r>
          </w:p>
          <w:p w14:paraId="7F93E1CB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是否有专门的领导小组或集体决策机构：有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分，没有0分；</w:t>
            </w:r>
          </w:p>
          <w:p w14:paraId="674A25B9" w14:textId="77777777" w:rsidR="00575094" w:rsidRPr="003D4DA7" w:rsidRDefault="00B720BC" w:rsidP="00945F72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是否有内容建设队伍，有明确的责任分工：有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</w:t>
            </w:r>
            <w:bookmarkEnd w:id="1"/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2983" w14:textId="77777777" w:rsidR="00575094" w:rsidRPr="003D4DA7" w:rsidRDefault="00945F72" w:rsidP="0073434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1727" w:rsidRPr="003D4DA7" w14:paraId="4BEE5433" w14:textId="77777777" w:rsidTr="001227B0">
        <w:trPr>
          <w:trHeight w:val="271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67A0" w14:textId="77777777" w:rsidR="00575094" w:rsidRPr="003D4DA7" w:rsidRDefault="00575094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554C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审核机制</w:t>
            </w:r>
          </w:p>
          <w:p w14:paraId="5215F4DD" w14:textId="77777777" w:rsidR="00575094" w:rsidRPr="003D4DA7" w:rsidRDefault="00B720BC" w:rsidP="009832D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9832DA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9B3A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2" w:name="OLE_LINK8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有信息发布审核制度并纳入单位的常规性管理工作。</w:t>
            </w:r>
          </w:p>
          <w:p w14:paraId="01D2CADA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1.可直接提供评估阶段内的网站内容发布审核材料支撑10-8分（OA流程审批记录10分、纸质审批的复印件或电子照片9分、后台系统的审核记录8分、后台系统审核截图8分等）;</w:t>
            </w:r>
          </w:p>
          <w:p w14:paraId="0EBCCB50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有审核机制但不能提供评估阶段内的网站内容发布审核材料支撑5分;</w:t>
            </w:r>
          </w:p>
          <w:p w14:paraId="7BD085CA" w14:textId="77777777"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无信息发布审核机制0分</w:t>
            </w:r>
            <w:bookmarkEnd w:id="2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A367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132BD" w:rsidRPr="003D4DA7" w14:paraId="557CE740" w14:textId="77777777" w:rsidTr="001227B0">
        <w:trPr>
          <w:trHeight w:val="1177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2101B2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网站内容</w:t>
            </w:r>
          </w:p>
          <w:p w14:paraId="3A4AC2FC" w14:textId="77777777"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(</w:t>
            </w:r>
            <w:r w:rsidRPr="003D4DA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6</w:t>
            </w:r>
            <w:r w:rsidR="00945F72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15A9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栏目设置</w:t>
            </w:r>
          </w:p>
          <w:p w14:paraId="3376E59D" w14:textId="77777777" w:rsidR="007132BD" w:rsidRPr="003D4DA7" w:rsidRDefault="007132BD" w:rsidP="001F051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1F051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分）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7D1E" w14:textId="77777777" w:rsidR="007132BD" w:rsidRPr="003D4DA7" w:rsidRDefault="002366F5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1F05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栏目设置须为简介</w:t>
            </w:r>
            <w:r w:rsidR="001F051C" w:rsidRPr="001F05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概况、</w:t>
            </w:r>
            <w:r w:rsidR="001F05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科学研究、研究队伍、交流合作、人才培养、</w:t>
            </w:r>
            <w:r w:rsidR="001F051C" w:rsidRPr="001F05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公告通知、工作动态、</w:t>
            </w:r>
            <w:r w:rsidR="001F05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联系方式等。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</w:p>
          <w:p w14:paraId="64F3D3DE" w14:textId="22176159" w:rsidR="007132BD" w:rsidRPr="003D4DA7" w:rsidRDefault="002366F5" w:rsidP="00224F7B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设置完整</w:t>
            </w:r>
            <w:r w:rsidR="00224F7B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分、较不完整</w:t>
            </w:r>
            <w:r w:rsidR="0084403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3-2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分（少于3个）、不完整0分。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E21B" w14:textId="77777777" w:rsidR="007132BD" w:rsidRPr="003D4DA7" w:rsidRDefault="001F051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  <w:p w14:paraId="0AD62CAF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132BD" w:rsidRPr="003D4DA7" w14:paraId="761CD42F" w14:textId="77777777" w:rsidTr="001227B0">
        <w:trPr>
          <w:trHeight w:val="558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6C80" w14:textId="77777777"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33B4" w14:textId="77777777"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交互栏目（0分）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6BFC" w14:textId="77777777"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未私自设置BBS、聊天室等交互性栏目。</w:t>
            </w:r>
          </w:p>
          <w:p w14:paraId="6E1E9C74" w14:textId="77777777"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1.没有交互性栏目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14:paraId="2764FC5D" w14:textId="77777777"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2.经审核允许设置交互性栏目且未存在网站安全问题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</w:t>
            </w:r>
          </w:p>
          <w:p w14:paraId="683236C0" w14:textId="77777777"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3.经审核允许设置交互性栏目但存在网站安全问题扣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14:paraId="696B6214" w14:textId="77777777"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未经允许设置扣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7C8B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</w:tr>
      <w:tr w:rsidR="007132BD" w:rsidRPr="003D4DA7" w14:paraId="484CE74D" w14:textId="77777777" w:rsidTr="001227B0">
        <w:trPr>
          <w:trHeight w:val="65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4FA4C" w14:textId="77777777"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0CC1" w14:textId="77777777"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网站标识</w:t>
            </w:r>
          </w:p>
          <w:p w14:paraId="250D051B" w14:textId="77777777"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（0分）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B119" w14:textId="77777777" w:rsidR="007132BD" w:rsidRPr="003D4DA7" w:rsidRDefault="007132BD" w:rsidP="00FE5357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网站首页须有学校中</w:t>
            </w:r>
            <w:r w:rsidR="002366F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文官网链接和事业单位网站标识。缺少扣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198C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</w:p>
        </w:tc>
      </w:tr>
      <w:tr w:rsidR="007132BD" w:rsidRPr="003D4DA7" w14:paraId="5D87013C" w14:textId="77777777" w:rsidTr="001227B0">
        <w:trPr>
          <w:trHeight w:val="60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24DD6" w14:textId="77777777"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F4EA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内容完整性</w:t>
            </w:r>
          </w:p>
          <w:p w14:paraId="6F409D9B" w14:textId="77777777"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3307" w14:textId="77777777" w:rsidR="007132BD" w:rsidRPr="003D4DA7" w:rsidRDefault="002366F5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中英文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网站响应速度较快，稳定性好，未出现页面“天窗”现象，即页面无法打开、乱码、图片不能正常显示、空白页、无内容、页面错误、错误链接等情况。</w:t>
            </w:r>
          </w:p>
          <w:p w14:paraId="061166CB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1.一级栏目页（全检）存在“天窗”现象，每个扣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14:paraId="64A125A7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为止;</w:t>
            </w:r>
          </w:p>
          <w:p w14:paraId="152E6272" w14:textId="77777777" w:rsidR="007132BD" w:rsidRPr="003D4DA7" w:rsidRDefault="007132BD" w:rsidP="001F17E0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3.三级</w:t>
            </w:r>
            <w:r w:rsidR="0094769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页面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（抽检）存在“天窗”现象，每个扣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94769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5CAC" w14:textId="77777777"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2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7132BD" w:rsidRPr="003D4DA7" w14:paraId="50212F7D" w14:textId="77777777" w:rsidTr="001227B0">
        <w:trPr>
          <w:trHeight w:val="142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30F7" w14:textId="77777777"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493A" w14:textId="77777777" w:rsidR="007132BD" w:rsidRPr="003D4DA7" w:rsidRDefault="002366F5" w:rsidP="009832DA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中文网站</w:t>
            </w:r>
            <w:r w:rsidR="007132BD"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内容时效性（</w:t>
            </w:r>
            <w:r w:rsidR="007132BD"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20</w:t>
            </w:r>
            <w:r w:rsidR="007132BD"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F336" w14:textId="77777777" w:rsidR="007132BD" w:rsidRPr="003D4DA7" w:rsidRDefault="00970A4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类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中原创性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内容的更新时效性（引用</w:t>
            </w:r>
            <w:r w:rsidR="00EE25D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外站链接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不计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）。</w:t>
            </w:r>
          </w:p>
          <w:p w14:paraId="786E40D8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1.很及时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14:paraId="38BAA3B1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分（事件发生日和发布日相差平均2-5天内）;</w:t>
            </w:r>
          </w:p>
          <w:p w14:paraId="6B2695A4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3.不及时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分（事件发生日和发布日相差平均6-1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14:paraId="42479456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很不及时9-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14:paraId="4F12867A" w14:textId="77777777"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没有更新0分(事件发生日和发布日相差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0天以上)。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CAFE" w14:textId="77777777"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132BD" w:rsidRPr="003D4DA7" w14:paraId="5FBA5358" w14:textId="77777777" w:rsidTr="001227B0">
        <w:trPr>
          <w:trHeight w:val="46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B79D" w14:textId="77777777"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B66A" w14:textId="77777777" w:rsidR="007132BD" w:rsidRPr="003D4DA7" w:rsidRDefault="001F051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英文</w:t>
            </w:r>
            <w:r w:rsidR="002366F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网站内容时效性</w:t>
            </w:r>
          </w:p>
          <w:p w14:paraId="1651B2B6" w14:textId="77777777" w:rsidR="007132BD" w:rsidRPr="003D4DA7" w:rsidRDefault="007132BD" w:rsidP="001F051C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（1</w:t>
            </w:r>
            <w:r w:rsidR="001F051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BE6B" w14:textId="77777777" w:rsidR="002366F5" w:rsidRPr="003D4DA7" w:rsidRDefault="002366F5" w:rsidP="002366F5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类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中原创性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内容的更新时效性。</w:t>
            </w:r>
          </w:p>
          <w:p w14:paraId="1032E198" w14:textId="77777777" w:rsidR="00944762" w:rsidRDefault="00944762" w:rsidP="00944762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1.很及时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-3天内）;</w:t>
            </w:r>
          </w:p>
          <w:p w14:paraId="0B054C14" w14:textId="77777777" w:rsidR="00944762" w:rsidRDefault="00944762" w:rsidP="00944762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较及时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分（事件发生日和发布日相差平均4-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天）;</w:t>
            </w:r>
          </w:p>
          <w:p w14:paraId="65445628" w14:textId="77777777" w:rsidR="00944762" w:rsidRDefault="00944762" w:rsidP="00944762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3.不及时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14:paraId="09AA33E5" w14:textId="77777777" w:rsidR="00944762" w:rsidRDefault="00944762" w:rsidP="00944762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很不及时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14:paraId="6195993A" w14:textId="77777777" w:rsidR="007132BD" w:rsidRPr="003D4DA7" w:rsidRDefault="00944762" w:rsidP="00944762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没有更新0分(事件发生日和发布日相差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0天以上)。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3963" w14:textId="77777777" w:rsidR="007132BD" w:rsidRPr="003D4DA7" w:rsidRDefault="007132BD" w:rsidP="002366F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2366F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7132BD" w:rsidRPr="003D4DA7" w14:paraId="505DF16C" w14:textId="77777777" w:rsidTr="001227B0">
        <w:trPr>
          <w:trHeight w:val="1396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2A5" w14:textId="77777777" w:rsidR="007132BD" w:rsidRPr="003D4DA7" w:rsidRDefault="007132BD" w:rsidP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6817" w14:textId="77777777" w:rsidR="007132BD" w:rsidRPr="003D4DA7" w:rsidRDefault="00EE25D1" w:rsidP="007132B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</w:t>
            </w:r>
            <w:r w:rsidR="007132BD"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内容（0分）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2462" w14:textId="77777777"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禁止设置校外广告，禁止设置电影、游戏等网络链接。</w:t>
            </w:r>
          </w:p>
          <w:p w14:paraId="0E6B77FB" w14:textId="77777777"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1.未设置0分;</w:t>
            </w:r>
          </w:p>
          <w:p w14:paraId="4BE68A63" w14:textId="77777777"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2.设置-5分。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C643" w14:textId="77777777" w:rsidR="007132BD" w:rsidRPr="003D4DA7" w:rsidRDefault="007132BD" w:rsidP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D91727" w:rsidRPr="003D4DA7" w14:paraId="1F0A29FD" w14:textId="77777777" w:rsidTr="001227B0">
        <w:trPr>
          <w:trHeight w:val="54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3AA74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网站安全</w:t>
            </w:r>
          </w:p>
          <w:p w14:paraId="0AAF0567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(15分)</w:t>
            </w:r>
            <w:r w:rsidRPr="003D4DA7">
              <w:rPr>
                <w:rFonts w:eastAsia="仿宋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EB0D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信息安全</w:t>
            </w:r>
          </w:p>
          <w:p w14:paraId="753C391F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(5分)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4D94" w14:textId="77777777" w:rsidR="00575094" w:rsidRPr="003D4DA7" w:rsidRDefault="00B720BC" w:rsidP="003D4DA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未发布涉密信息及不当信息。</w:t>
            </w:r>
            <w:r w:rsidR="003D4DA7">
              <w:rPr>
                <w:rFonts w:ascii="仿宋" w:eastAsia="仿宋" w:hAnsi="仿宋" w:hint="eastAsia"/>
                <w:sz w:val="24"/>
                <w:szCs w:val="24"/>
              </w:rPr>
              <w:t>发布过0分，未发布5分。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EF39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D91727" w:rsidRPr="003D4DA7" w14:paraId="65DB0C35" w14:textId="77777777" w:rsidTr="001227B0">
        <w:trPr>
          <w:trHeight w:val="1598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EF0" w14:textId="77777777" w:rsidR="00575094" w:rsidRPr="003D4DA7" w:rsidRDefault="00575094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A795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系统安全 </w:t>
            </w:r>
          </w:p>
          <w:p w14:paraId="7034FCA2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B648" w14:textId="77777777" w:rsidR="00297370" w:rsidRDefault="00297370" w:rsidP="00297370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依据相关部门监测结果，考核评估阶段内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网站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前后台漏洞及整改情况。</w:t>
            </w:r>
          </w:p>
          <w:p w14:paraId="3779C37F" w14:textId="77777777" w:rsidR="00297370" w:rsidRPr="003D4DA7" w:rsidRDefault="00297370" w:rsidP="00297370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存在高危漏洞，且未按期整改，0分。</w:t>
            </w:r>
          </w:p>
          <w:p w14:paraId="554DA2B9" w14:textId="77777777" w:rsidR="00297370" w:rsidRPr="003D4DA7" w:rsidRDefault="00297370" w:rsidP="00297370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存在中危漏洞，且未按期整改，4分。</w:t>
            </w:r>
          </w:p>
          <w:p w14:paraId="1E6866E8" w14:textId="77777777" w:rsidR="00297370" w:rsidRPr="003D4DA7" w:rsidRDefault="00297370" w:rsidP="00297370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存在低危漏洞，且未按期整改，6分。</w:t>
            </w:r>
          </w:p>
          <w:p w14:paraId="264081A3" w14:textId="77777777" w:rsidR="00575094" w:rsidRPr="003D4DA7" w:rsidRDefault="00297370" w:rsidP="00297370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没有漏洞，1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1C44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D91727" w14:paraId="677F97F5" w14:textId="77777777" w:rsidTr="001227B0">
        <w:trPr>
          <w:trHeight w:val="93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D3D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网站其他</w:t>
            </w:r>
          </w:p>
          <w:p w14:paraId="2D844ACA" w14:textId="77777777" w:rsidR="00575094" w:rsidRPr="003D4DA7" w:rsidRDefault="00B720BC" w:rsidP="00761CA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(</w:t>
            </w:r>
            <w:r w:rsidR="00761CA9" w:rsidRPr="003D4DA7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E1C0" w14:textId="77777777"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移动端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</w:p>
          <w:p w14:paraId="79226FB1" w14:textId="77777777" w:rsidR="00575094" w:rsidRPr="003D4DA7" w:rsidRDefault="00B720BC" w:rsidP="00761CA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761CA9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DD8D" w14:textId="77777777" w:rsidR="003D4DA7" w:rsidRDefault="002366F5" w:rsidP="003D4DA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</w:t>
            </w:r>
            <w:r w:rsidR="00B720BC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支持移动终端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智能响应</w:t>
            </w:r>
            <w:r w:rsidR="00B720BC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  <w:p w14:paraId="2FF734A1" w14:textId="77777777" w:rsidR="00575094" w:rsidRPr="003D4DA7" w:rsidRDefault="00B720BC" w:rsidP="003D4DA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网页所有元素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  <w:r w:rsidR="00761CA9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部分支持4-</w:t>
            </w:r>
            <w:r w:rsid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分；不支持0分。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C620" w14:textId="77777777" w:rsidR="00575094" w:rsidRDefault="00761CA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24F58625" w14:textId="77777777" w:rsidR="00575094" w:rsidRDefault="00575094" w:rsidP="00374CD4">
      <w:pPr>
        <w:spacing w:line="400" w:lineRule="exact"/>
      </w:pPr>
    </w:p>
    <w:sectPr w:rsidR="0057509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0C75" w14:textId="77777777" w:rsidR="007F650F" w:rsidRDefault="007F650F">
      <w:r>
        <w:separator/>
      </w:r>
    </w:p>
  </w:endnote>
  <w:endnote w:type="continuationSeparator" w:id="0">
    <w:p w14:paraId="55AABE12" w14:textId="77777777" w:rsidR="007F650F" w:rsidRDefault="007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AED" w14:textId="77777777" w:rsidR="00575094" w:rsidRDefault="00B720B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591D0" wp14:editId="6C97CF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C5932" w14:textId="77777777" w:rsidR="00575094" w:rsidRDefault="00B720B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9737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591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6FC5932" w14:textId="77777777" w:rsidR="00575094" w:rsidRDefault="00B720BC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9737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543E" w14:textId="77777777" w:rsidR="007F650F" w:rsidRDefault="007F650F">
      <w:r>
        <w:separator/>
      </w:r>
    </w:p>
  </w:footnote>
  <w:footnote w:type="continuationSeparator" w:id="0">
    <w:p w14:paraId="1ECD3432" w14:textId="77777777" w:rsidR="007F650F" w:rsidRDefault="007F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B0A07"/>
    <w:multiLevelType w:val="singleLevel"/>
    <w:tmpl w:val="737B0A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58"/>
    <w:rsid w:val="00051ACF"/>
    <w:rsid w:val="00072C1D"/>
    <w:rsid w:val="0008663C"/>
    <w:rsid w:val="000C6E6F"/>
    <w:rsid w:val="000E0E32"/>
    <w:rsid w:val="000E77AD"/>
    <w:rsid w:val="001227B0"/>
    <w:rsid w:val="00166EC5"/>
    <w:rsid w:val="001E4797"/>
    <w:rsid w:val="001E6F82"/>
    <w:rsid w:val="001F051C"/>
    <w:rsid w:val="001F17E0"/>
    <w:rsid w:val="00224F7B"/>
    <w:rsid w:val="002366F5"/>
    <w:rsid w:val="00274AE7"/>
    <w:rsid w:val="00294E53"/>
    <w:rsid w:val="00297370"/>
    <w:rsid w:val="003137ED"/>
    <w:rsid w:val="00315D83"/>
    <w:rsid w:val="00320F58"/>
    <w:rsid w:val="00374CD4"/>
    <w:rsid w:val="003D4DA7"/>
    <w:rsid w:val="0045112C"/>
    <w:rsid w:val="00454770"/>
    <w:rsid w:val="00476183"/>
    <w:rsid w:val="004810DB"/>
    <w:rsid w:val="004C5553"/>
    <w:rsid w:val="00520AC1"/>
    <w:rsid w:val="00575094"/>
    <w:rsid w:val="00584B80"/>
    <w:rsid w:val="00627162"/>
    <w:rsid w:val="00653444"/>
    <w:rsid w:val="0066501D"/>
    <w:rsid w:val="006A52CE"/>
    <w:rsid w:val="007060EC"/>
    <w:rsid w:val="007132BD"/>
    <w:rsid w:val="00734349"/>
    <w:rsid w:val="0074078B"/>
    <w:rsid w:val="00752979"/>
    <w:rsid w:val="00761CA9"/>
    <w:rsid w:val="00766964"/>
    <w:rsid w:val="00796102"/>
    <w:rsid w:val="007F1B79"/>
    <w:rsid w:val="007F650F"/>
    <w:rsid w:val="00844035"/>
    <w:rsid w:val="00890D41"/>
    <w:rsid w:val="008A1A2F"/>
    <w:rsid w:val="008C4949"/>
    <w:rsid w:val="008E10B3"/>
    <w:rsid w:val="00930E6D"/>
    <w:rsid w:val="00944762"/>
    <w:rsid w:val="00945F72"/>
    <w:rsid w:val="00946F14"/>
    <w:rsid w:val="00947690"/>
    <w:rsid w:val="00970A41"/>
    <w:rsid w:val="00972040"/>
    <w:rsid w:val="00972090"/>
    <w:rsid w:val="009773FA"/>
    <w:rsid w:val="009832DA"/>
    <w:rsid w:val="009B569A"/>
    <w:rsid w:val="009C4131"/>
    <w:rsid w:val="009D41F4"/>
    <w:rsid w:val="00A43AF0"/>
    <w:rsid w:val="00A52D9F"/>
    <w:rsid w:val="00A54DBA"/>
    <w:rsid w:val="00A56468"/>
    <w:rsid w:val="00B1608D"/>
    <w:rsid w:val="00B35647"/>
    <w:rsid w:val="00B5580D"/>
    <w:rsid w:val="00B720BC"/>
    <w:rsid w:val="00B96E04"/>
    <w:rsid w:val="00BD23C5"/>
    <w:rsid w:val="00C4337E"/>
    <w:rsid w:val="00C53C80"/>
    <w:rsid w:val="00C7494E"/>
    <w:rsid w:val="00C81A24"/>
    <w:rsid w:val="00C900AE"/>
    <w:rsid w:val="00D91727"/>
    <w:rsid w:val="00D95285"/>
    <w:rsid w:val="00DD42FB"/>
    <w:rsid w:val="00E26015"/>
    <w:rsid w:val="00E31305"/>
    <w:rsid w:val="00EE25D1"/>
    <w:rsid w:val="00F074BE"/>
    <w:rsid w:val="00F958D5"/>
    <w:rsid w:val="00F95CDC"/>
    <w:rsid w:val="00FE5357"/>
    <w:rsid w:val="06066ABD"/>
    <w:rsid w:val="0EB4229D"/>
    <w:rsid w:val="13607174"/>
    <w:rsid w:val="19303363"/>
    <w:rsid w:val="1CBC2B87"/>
    <w:rsid w:val="2A405E25"/>
    <w:rsid w:val="2F593D7C"/>
    <w:rsid w:val="3DAF448B"/>
    <w:rsid w:val="46910679"/>
    <w:rsid w:val="525F6D8C"/>
    <w:rsid w:val="62D86616"/>
    <w:rsid w:val="72BA61F9"/>
    <w:rsid w:val="73E01E0C"/>
    <w:rsid w:val="76C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6E618"/>
  <w15:docId w15:val="{9B37256F-7703-475A-8012-732E3415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F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Calibri"/>
      <w:kern w:val="2"/>
      <w:sz w:val="21"/>
      <w:szCs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Calibri"/>
      <w:b/>
      <w:bCs/>
      <w:kern w:val="2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高尚</cp:lastModifiedBy>
  <cp:revision>20</cp:revision>
  <cp:lastPrinted>2019-05-13T06:04:00Z</cp:lastPrinted>
  <dcterms:created xsi:type="dcterms:W3CDTF">2021-03-22T02:28:00Z</dcterms:created>
  <dcterms:modified xsi:type="dcterms:W3CDTF">2021-04-28T08:54:00Z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