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26"/>
        <w:jc w:val="center"/>
        <w:rPr>
          <w:rFonts w:ascii="华文中宋" w:eastAsia="华文中宋"/>
          <w:b/>
          <w:sz w:val="36"/>
          <w:szCs w:val="36"/>
        </w:rPr>
      </w:pPr>
    </w:p>
    <w:p>
      <w:pPr>
        <w:spacing w:line="440" w:lineRule="exact"/>
        <w:ind w:right="26"/>
        <w:jc w:val="center"/>
        <w:rPr>
          <w:rFonts w:ascii="华文中宋" w:eastAsia="华文中宋"/>
          <w:b/>
          <w:sz w:val="36"/>
          <w:szCs w:val="36"/>
        </w:rPr>
      </w:pPr>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甘肃省哲学社会科学优秀成果评审评分参考表</w:t>
      </w:r>
    </w:p>
    <w:p>
      <w:pPr>
        <w:spacing w:line="440" w:lineRule="exact"/>
        <w:ind w:right="19"/>
        <w:jc w:val="center"/>
        <w:rPr>
          <w:rFonts w:ascii="楷体_GB2312" w:eastAsia="楷体_GB2312" w:cs="楷体_GB2312"/>
          <w:b/>
          <w:bCs/>
          <w:sz w:val="32"/>
          <w:szCs w:val="32"/>
        </w:rPr>
      </w:pPr>
      <w:r>
        <w:rPr>
          <w:rFonts w:hint="eastAsia" w:ascii="楷体_GB2312" w:eastAsia="楷体_GB2312" w:cs="楷体_GB2312"/>
          <w:sz w:val="32"/>
          <w:szCs w:val="32"/>
        </w:rPr>
        <w:t>（著作类研究成果）</w:t>
      </w:r>
    </w:p>
    <w:p>
      <w:pPr>
        <w:spacing w:line="440" w:lineRule="exact"/>
        <w:ind w:right="19"/>
        <w:rPr>
          <w:rFonts w:ascii="楷体_GB2312" w:eastAsia="楷体_GB2312"/>
          <w:sz w:val="28"/>
          <w:szCs w:val="28"/>
        </w:rPr>
      </w:pPr>
      <w:r>
        <w:rPr>
          <w:rFonts w:hint="eastAsia" w:ascii="楷体_GB2312" w:eastAsia="楷体_GB2312"/>
          <w:sz w:val="28"/>
          <w:szCs w:val="28"/>
        </w:rPr>
        <w:t xml:space="preserve">成果名称：                                              </w:t>
      </w:r>
      <w:r>
        <w:rPr>
          <w:rFonts w:hint="eastAsia" w:eastAsia="楷体_GB2312"/>
          <w:sz w:val="28"/>
          <w:szCs w:val="28"/>
        </w:rPr>
        <w:t xml:space="preserve">表1 </w:t>
      </w: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120"/>
        <w:gridCol w:w="1071"/>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768"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ind w:firstLine="238"/>
              <w:jc w:val="center"/>
              <w:rPr>
                <w:rFonts w:eastAsia="楷体_GB2312"/>
                <w:sz w:val="28"/>
                <w:szCs w:val="28"/>
              </w:rPr>
            </w:pPr>
            <w:r>
              <w:rPr>
                <w:rFonts w:hint="eastAsia" w:eastAsia="楷体_GB2312"/>
                <w:sz w:val="28"/>
                <w:szCs w:val="28"/>
              </w:rPr>
              <w:t>指</w:t>
            </w:r>
            <w:r>
              <w:rPr>
                <w:rFonts w:eastAsia="楷体_GB2312"/>
                <w:sz w:val="28"/>
                <w:szCs w:val="28"/>
              </w:rPr>
              <w:t xml:space="preserve">    </w:t>
            </w:r>
            <w:r>
              <w:rPr>
                <w:rFonts w:hint="eastAsia" w:eastAsia="楷体_GB2312"/>
                <w:sz w:val="28"/>
                <w:szCs w:val="28"/>
              </w:rPr>
              <w:t>标</w:t>
            </w:r>
            <w:r>
              <w:rPr>
                <w:rFonts w:eastAsia="楷体_GB2312"/>
                <w:sz w:val="28"/>
                <w:szCs w:val="28"/>
              </w:rPr>
              <w:t xml:space="preserve">    </w:t>
            </w:r>
            <w:r>
              <w:rPr>
                <w:rFonts w:hint="eastAsia" w:eastAsia="楷体_GB2312"/>
                <w:sz w:val="28"/>
                <w:szCs w:val="28"/>
              </w:rPr>
              <w:t>内</w:t>
            </w:r>
            <w:r>
              <w:rPr>
                <w:rFonts w:eastAsia="楷体_GB2312"/>
                <w:sz w:val="28"/>
                <w:szCs w:val="28"/>
              </w:rPr>
              <w:t xml:space="preserve">    </w:t>
            </w:r>
            <w:r>
              <w:rPr>
                <w:rFonts w:hint="eastAsia" w:eastAsia="楷体_GB2312"/>
                <w:sz w:val="28"/>
                <w:szCs w:val="28"/>
              </w:rPr>
              <w:t>容</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eastAsia="楷体_GB2312"/>
                <w:sz w:val="28"/>
                <w:szCs w:val="28"/>
              </w:rPr>
            </w:pPr>
            <w:r>
              <w:rPr>
                <w:rFonts w:hint="eastAsia" w:eastAsia="楷体_GB2312"/>
                <w:sz w:val="28"/>
                <w:szCs w:val="28"/>
              </w:rPr>
              <w:t>分值</w:t>
            </w:r>
          </w:p>
        </w:tc>
        <w:tc>
          <w:tcPr>
            <w:tcW w:w="909"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648" w:type="dxa"/>
            <w:vMerge w:val="restart"/>
            <w:tcBorders>
              <w:top w:val="single" w:color="auto" w:sz="4" w:space="0"/>
              <w:left w:val="single" w:color="auto" w:sz="4" w:space="0"/>
              <w:right w:val="single" w:color="auto" w:sz="4" w:space="0"/>
            </w:tcBorders>
            <w:noWrap/>
            <w:vAlign w:val="center"/>
          </w:tcPr>
          <w:p>
            <w:pPr>
              <w:spacing w:line="360" w:lineRule="exact"/>
              <w:jc w:val="center"/>
              <w:rPr>
                <w:rFonts w:eastAsia="楷体_GB2312"/>
                <w:sz w:val="28"/>
                <w:szCs w:val="28"/>
              </w:rPr>
            </w:pPr>
          </w:p>
          <w:p>
            <w:pPr>
              <w:spacing w:line="360" w:lineRule="exact"/>
              <w:jc w:val="center"/>
              <w:rPr>
                <w:rFonts w:eastAsia="楷体_GB2312"/>
                <w:sz w:val="28"/>
                <w:szCs w:val="28"/>
              </w:rPr>
            </w:pPr>
            <w:r>
              <w:rPr>
                <w:rFonts w:hint="eastAsia" w:eastAsia="楷体_GB2312"/>
                <w:sz w:val="28"/>
                <w:szCs w:val="28"/>
              </w:rPr>
              <w:t>创新程度</w:t>
            </w: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eastAsia="楷体_GB2312"/>
                <w:sz w:val="24"/>
                <w:szCs w:val="24"/>
              </w:rPr>
              <w:t>提出新的学说或系统理论观点，研究取得突破性进展；或提出新的研究方法，使研究取得突破性进展；或对重要领域、重要问题作出系统描述、分析和概括，总结出规律性认识；或通过新的系统论证，丰富和发展了某种重要学说。</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12-16</w:t>
            </w:r>
          </w:p>
        </w:tc>
        <w:tc>
          <w:tcPr>
            <w:tcW w:w="909"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48" w:type="dxa"/>
            <w:vMerge w:val="continue"/>
            <w:tcBorders>
              <w:left w:val="single" w:color="auto" w:sz="4" w:space="0"/>
              <w:right w:val="single" w:color="auto" w:sz="4" w:space="0"/>
            </w:tcBorders>
            <w:noWrap/>
            <w:vAlign w:val="center"/>
          </w:tcP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eastAsia="楷体_GB2312"/>
                <w:sz w:val="24"/>
                <w:szCs w:val="24"/>
              </w:rPr>
              <w:t>提出新的理论观点，研究有所深入；或运用新的研究方法，使研究有所深入；或对重要领域、重要问题作出新的描述、分析和概括；或通过新的系统论证，丰富和发展了某种重要的理论观点。</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6-11</w:t>
            </w:r>
          </w:p>
        </w:tc>
        <w:tc>
          <w:tcPr>
            <w:tcW w:w="909"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648" w:type="dxa"/>
            <w:vMerge w:val="continue"/>
            <w:tcBorders>
              <w:left w:val="single" w:color="auto" w:sz="4" w:space="0"/>
              <w:right w:val="single" w:color="auto" w:sz="4" w:space="0"/>
            </w:tcBorders>
            <w:noWrap/>
            <w:vAlign w:val="center"/>
          </w:tcPr>
          <w:p/>
        </w:tc>
        <w:tc>
          <w:tcPr>
            <w:tcW w:w="6120" w:type="dxa"/>
            <w:tcBorders>
              <w:top w:val="single" w:color="auto" w:sz="4" w:space="0"/>
              <w:left w:val="single" w:color="auto" w:sz="4" w:space="0"/>
              <w:right w:val="single" w:color="auto" w:sz="4" w:space="0"/>
            </w:tcBorders>
            <w:noWrap/>
            <w:vAlign w:val="center"/>
          </w:tcPr>
          <w:p>
            <w:pPr>
              <w:spacing w:line="280" w:lineRule="exact"/>
              <w:rPr>
                <w:rFonts w:eastAsia="楷体_GB2312"/>
                <w:sz w:val="24"/>
                <w:szCs w:val="24"/>
              </w:rPr>
            </w:pPr>
            <w:r>
              <w:rPr>
                <w:rFonts w:hint="eastAsia" w:eastAsia="楷体_GB2312"/>
                <w:sz w:val="24"/>
                <w:szCs w:val="24"/>
              </w:rPr>
              <w:t>提出具有启发性的见解；或使用新的研究方法，作出有新意的解释；或对某领域的某方面作出新的描述、分析和概括；或通过新的论证，完善了某种理论观点。</w:t>
            </w:r>
          </w:p>
        </w:tc>
        <w:tc>
          <w:tcPr>
            <w:tcW w:w="1071"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2-5</w:t>
            </w:r>
          </w:p>
        </w:tc>
        <w:tc>
          <w:tcPr>
            <w:tcW w:w="909"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48" w:type="dxa"/>
            <w:vMerge w:val="restart"/>
            <w:tcBorders>
              <w:top w:val="single" w:color="auto" w:sz="4" w:space="0"/>
              <w:left w:val="single" w:color="auto" w:sz="4" w:space="0"/>
              <w:right w:val="single" w:color="auto" w:sz="4" w:space="0"/>
            </w:tcBorders>
            <w:noWrap/>
            <w:vAlign w:val="center"/>
          </w:tcPr>
          <w:p>
            <w:pPr>
              <w:spacing w:line="360" w:lineRule="exact"/>
              <w:jc w:val="center"/>
              <w:rPr>
                <w:rFonts w:eastAsia="楷体_GB2312"/>
                <w:sz w:val="28"/>
                <w:szCs w:val="28"/>
              </w:rPr>
            </w:pPr>
            <w:r>
              <w:rPr>
                <w:rFonts w:hint="eastAsia" w:eastAsia="楷体_GB2312"/>
                <w:sz w:val="28"/>
                <w:szCs w:val="28"/>
              </w:rPr>
              <w:t>完备程度</w:t>
            </w: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eastAsia="楷体_GB2312"/>
                <w:sz w:val="24"/>
                <w:szCs w:val="24"/>
              </w:rPr>
              <w:t>阐述全面、精当，知识结构系统完整；理论前提科学，概念明确，逻辑严密，资料准确充实，研究方法科学适当；引证规范，所有引用资料、观点来源清楚。</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8-10</w:t>
            </w:r>
          </w:p>
        </w:tc>
        <w:tc>
          <w:tcPr>
            <w:tcW w:w="909"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48" w:type="dxa"/>
            <w:vMerge w:val="continue"/>
            <w:tcBorders>
              <w:left w:val="single" w:color="auto" w:sz="4" w:space="0"/>
              <w:right w:val="single" w:color="auto" w:sz="4" w:space="0"/>
            </w:tcBorders>
            <w:noWrap/>
            <w:vAlign w:val="center"/>
          </w:tcP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eastAsia="楷体_GB2312"/>
                <w:sz w:val="24"/>
                <w:szCs w:val="24"/>
              </w:rPr>
              <w:t>阐述较全面、精当，知识结构较系统完整；理论前提科学，资料较准确充实、研究方法适当、概念准确、逻辑严密；引证较规范。</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5-7</w:t>
            </w:r>
          </w:p>
        </w:tc>
        <w:tc>
          <w:tcPr>
            <w:tcW w:w="909"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48" w:type="dxa"/>
            <w:vMerge w:val="continue"/>
            <w:tcBorders>
              <w:left w:val="single" w:color="auto" w:sz="4" w:space="0"/>
              <w:bottom w:val="single" w:color="auto" w:sz="4" w:space="0"/>
              <w:right w:val="single" w:color="auto" w:sz="4" w:space="0"/>
            </w:tcBorders>
            <w:noWrap/>
            <w:vAlign w:val="center"/>
          </w:tcP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eastAsia="楷体_GB2312"/>
                <w:sz w:val="24"/>
                <w:szCs w:val="24"/>
              </w:rPr>
              <w:t>主要方面阐述清楚，初步建立知识结构基本框架；理论前提科学，资料翔实、研究方法适当、概念清晰、逻辑较严密；引证基本规范。</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2-4</w:t>
            </w:r>
          </w:p>
        </w:tc>
        <w:tc>
          <w:tcPr>
            <w:tcW w:w="909"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648" w:type="dxa"/>
            <w:vMerge w:val="restart"/>
            <w:tcBorders>
              <w:top w:val="single" w:color="auto" w:sz="4" w:space="0"/>
              <w:left w:val="single" w:color="auto" w:sz="4" w:space="0"/>
              <w:right w:val="single" w:color="auto" w:sz="4" w:space="0"/>
            </w:tcBorders>
            <w:noWrap/>
            <w:vAlign w:val="center"/>
          </w:tcPr>
          <w:p>
            <w:pPr>
              <w:spacing w:line="360" w:lineRule="exact"/>
              <w:jc w:val="center"/>
              <w:rPr>
                <w:rFonts w:eastAsia="楷体_GB2312"/>
                <w:sz w:val="28"/>
                <w:szCs w:val="28"/>
              </w:rPr>
            </w:pPr>
            <w:r>
              <w:rPr>
                <w:rFonts w:hint="eastAsia" w:eastAsia="楷体_GB2312"/>
                <w:sz w:val="28"/>
                <w:szCs w:val="28"/>
              </w:rPr>
              <w:t>难易程度</w:t>
            </w: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eastAsia="楷体_GB2312"/>
                <w:sz w:val="24"/>
                <w:szCs w:val="24"/>
              </w:rPr>
              <w:t>难度与学科跨度很大，学科基础薄弱；资料的搜集与处理难度很大。</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8-10</w:t>
            </w:r>
          </w:p>
          <w:p>
            <w:pPr>
              <w:spacing w:line="240" w:lineRule="exact"/>
              <w:jc w:val="center"/>
              <w:rPr>
                <w:rFonts w:eastAsia="楷体_GB2312"/>
                <w:b/>
                <w:sz w:val="28"/>
                <w:szCs w:val="28"/>
              </w:rPr>
            </w:pPr>
          </w:p>
        </w:tc>
        <w:tc>
          <w:tcPr>
            <w:tcW w:w="909"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48" w:type="dxa"/>
            <w:vMerge w:val="continue"/>
            <w:tcBorders>
              <w:left w:val="single" w:color="auto" w:sz="4" w:space="0"/>
              <w:right w:val="single" w:color="auto" w:sz="4" w:space="0"/>
            </w:tcBorders>
            <w:noWrap/>
            <w:vAlign w:val="center"/>
          </w:tcP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eastAsia="楷体_GB2312"/>
                <w:sz w:val="24"/>
                <w:szCs w:val="24"/>
              </w:rPr>
              <w:t>难度与学科跨度大，学科基础较薄弱；资料的搜集与处理难度大。</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5-7</w:t>
            </w:r>
          </w:p>
        </w:tc>
        <w:tc>
          <w:tcPr>
            <w:tcW w:w="909"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48" w:type="dxa"/>
            <w:vMerge w:val="continue"/>
            <w:tcBorders>
              <w:left w:val="single" w:color="auto" w:sz="4" w:space="0"/>
              <w:right w:val="single" w:color="auto" w:sz="4" w:space="0"/>
            </w:tcBorders>
            <w:noWrap/>
            <w:vAlign w:val="center"/>
          </w:tcP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eastAsia="楷体_GB2312"/>
                <w:sz w:val="24"/>
                <w:szCs w:val="24"/>
              </w:rPr>
              <w:t>问题较复杂，有一定难度；资料的搜集与处理难度较大。</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2-4</w:t>
            </w:r>
          </w:p>
        </w:tc>
        <w:tc>
          <w:tcPr>
            <w:tcW w:w="909"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48" w:type="dxa"/>
            <w:vMerge w:val="restart"/>
            <w:tcBorders>
              <w:left w:val="single" w:color="auto" w:sz="4" w:space="0"/>
              <w:right w:val="single" w:color="auto" w:sz="4" w:space="0"/>
            </w:tcBorders>
            <w:noWrap/>
            <w:vAlign w:val="center"/>
          </w:tcPr>
          <w:p>
            <w:pPr>
              <w:spacing w:line="360" w:lineRule="exact"/>
              <w:jc w:val="center"/>
              <w:rPr>
                <w:rFonts w:eastAsia="楷体_GB2312"/>
                <w:sz w:val="28"/>
                <w:szCs w:val="28"/>
              </w:rPr>
            </w:pPr>
            <w:r>
              <w:rPr>
                <w:rFonts w:hint="eastAsia" w:ascii="楷体_GB2312" w:eastAsia="楷体_GB2312"/>
                <w:sz w:val="28"/>
                <w:szCs w:val="28"/>
              </w:rPr>
              <w:t>成果价值</w:t>
            </w: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ascii="楷体_GB2312" w:eastAsia="楷体_GB2312"/>
                <w:sz w:val="24"/>
                <w:szCs w:val="24"/>
              </w:rPr>
              <w:t>对解决重大理论或现实问题有推动作用，对学科发展有奠基作用。</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10-14</w:t>
            </w:r>
          </w:p>
        </w:tc>
        <w:tc>
          <w:tcPr>
            <w:tcW w:w="909"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48" w:type="dxa"/>
            <w:vMerge w:val="continue"/>
            <w:tcBorders>
              <w:left w:val="single" w:color="auto" w:sz="4" w:space="0"/>
              <w:right w:val="single" w:color="auto" w:sz="4" w:space="0"/>
            </w:tcBorders>
            <w:noWrap/>
          </w:tcPr>
          <w:p/>
        </w:tc>
        <w:tc>
          <w:tcPr>
            <w:tcW w:w="6120"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eastAsia="楷体_GB2312"/>
                <w:sz w:val="24"/>
                <w:szCs w:val="24"/>
              </w:rPr>
            </w:pPr>
            <w:r>
              <w:rPr>
                <w:rFonts w:hint="eastAsia" w:ascii="楷体_GB2312" w:eastAsia="楷体_GB2312"/>
                <w:sz w:val="24"/>
                <w:szCs w:val="24"/>
              </w:rPr>
              <w:t>对解决重要理论或现实问题有推动作用，对学科发展有促进作用。</w:t>
            </w:r>
          </w:p>
        </w:tc>
        <w:tc>
          <w:tcPr>
            <w:tcW w:w="107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6-9</w:t>
            </w:r>
          </w:p>
        </w:tc>
        <w:tc>
          <w:tcPr>
            <w:tcW w:w="909" w:type="dxa"/>
            <w:tcBorders>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48" w:type="dxa"/>
            <w:vMerge w:val="continue"/>
            <w:tcBorders>
              <w:left w:val="single" w:color="auto" w:sz="4" w:space="0"/>
              <w:right w:val="single" w:color="auto" w:sz="4" w:space="0"/>
            </w:tcBorders>
            <w:noWrap/>
          </w:tcPr>
          <w:p/>
        </w:tc>
        <w:tc>
          <w:tcPr>
            <w:tcW w:w="6120" w:type="dxa"/>
            <w:tcBorders>
              <w:top w:val="single" w:color="auto" w:sz="4" w:space="0"/>
              <w:left w:val="single" w:color="auto" w:sz="4" w:space="0"/>
              <w:right w:val="single" w:color="auto" w:sz="4" w:space="0"/>
            </w:tcBorders>
            <w:noWrap/>
            <w:vAlign w:val="center"/>
          </w:tcPr>
          <w:p>
            <w:pPr>
              <w:spacing w:line="280" w:lineRule="exact"/>
              <w:rPr>
                <w:rFonts w:eastAsia="楷体_GB2312"/>
                <w:sz w:val="24"/>
                <w:szCs w:val="24"/>
              </w:rPr>
            </w:pPr>
            <w:r>
              <w:rPr>
                <w:rFonts w:hint="eastAsia" w:ascii="楷体_GB2312" w:eastAsia="楷体_GB2312"/>
                <w:sz w:val="24"/>
                <w:szCs w:val="24"/>
              </w:rPr>
              <w:t>对</w:t>
            </w:r>
            <w:r>
              <w:rPr>
                <w:rFonts w:hint="eastAsia" w:eastAsia="楷体_GB2312"/>
                <w:sz w:val="24"/>
                <w:szCs w:val="24"/>
              </w:rPr>
              <w:t>解决</w:t>
            </w:r>
            <w:r>
              <w:rPr>
                <w:rFonts w:hint="eastAsia" w:ascii="楷体_GB2312" w:eastAsia="楷体_GB2312"/>
                <w:sz w:val="24"/>
                <w:szCs w:val="24"/>
              </w:rPr>
              <w:t>理论或现实中问题有一定的推动作用。</w:t>
            </w:r>
          </w:p>
        </w:tc>
        <w:tc>
          <w:tcPr>
            <w:tcW w:w="1071"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2-5</w:t>
            </w:r>
          </w:p>
        </w:tc>
        <w:tc>
          <w:tcPr>
            <w:tcW w:w="909" w:type="dxa"/>
            <w:tcBorders>
              <w:left w:val="single" w:color="auto" w:sz="4" w:space="0"/>
              <w:right w:val="single" w:color="auto" w:sz="4" w:space="0"/>
            </w:tcBorders>
            <w:noWrap/>
          </w:tcPr>
          <w:p>
            <w:pPr>
              <w:spacing w:line="540" w:lineRule="exact"/>
              <w:rPr>
                <w:rFonts w:eastAsia="楷体_GB2312"/>
                <w:sz w:val="28"/>
                <w:szCs w:val="28"/>
              </w:rPr>
            </w:pPr>
          </w:p>
        </w:tc>
      </w:tr>
    </w:tbl>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甘肃省哲学社会科学优秀成果评审评分参考表</w:t>
      </w:r>
    </w:p>
    <w:p>
      <w:pPr>
        <w:ind w:right="-340"/>
        <w:jc w:val="center"/>
        <w:rPr>
          <w:rFonts w:ascii="楷体_GB2312" w:eastAsia="楷体_GB2312" w:cs="楷体_GB2312"/>
          <w:sz w:val="32"/>
          <w:szCs w:val="32"/>
        </w:rPr>
      </w:pPr>
      <w:r>
        <w:rPr>
          <w:rFonts w:hint="eastAsia" w:ascii="楷体_GB2312" w:eastAsia="楷体_GB2312" w:cs="楷体_GB2312"/>
          <w:sz w:val="32"/>
          <w:szCs w:val="32"/>
        </w:rPr>
        <w:t>（著作类研究成果）</w:t>
      </w:r>
    </w:p>
    <w:p>
      <w:pPr>
        <w:ind w:firstLine="7725" w:firstLineChars="2759"/>
        <w:rPr>
          <w:sz w:val="28"/>
          <w:szCs w:val="28"/>
        </w:rPr>
      </w:pPr>
      <w:r>
        <w:rPr>
          <w:rFonts w:hint="eastAsia"/>
          <w:sz w:val="28"/>
          <w:szCs w:val="28"/>
        </w:rPr>
        <w:t>表2</w:t>
      </w:r>
    </w:p>
    <w:tbl>
      <w:tblPr>
        <w:tblStyle w:val="2"/>
        <w:tblW w:w="8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6107"/>
        <w:gridCol w:w="1098"/>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43" w:type="dxa"/>
            <w:vMerge w:val="restart"/>
            <w:noWrap/>
            <w:vAlign w:val="center"/>
          </w:tcPr>
          <w:p>
            <w:pPr>
              <w:spacing w:line="540" w:lineRule="exact"/>
              <w:jc w:val="center"/>
              <w:rPr>
                <w:rFonts w:ascii="楷体_GB2312" w:eastAsia="楷体_GB2312"/>
                <w:sz w:val="28"/>
                <w:szCs w:val="28"/>
              </w:rPr>
            </w:pPr>
            <w:r>
              <w:rPr>
                <w:rFonts w:hint="eastAsia" w:ascii="楷体_GB2312" w:eastAsia="楷体_GB2312"/>
                <w:sz w:val="28"/>
                <w:szCs w:val="28"/>
              </w:rPr>
              <w:t>出</w:t>
            </w:r>
          </w:p>
          <w:p>
            <w:pPr>
              <w:spacing w:line="540" w:lineRule="exact"/>
              <w:jc w:val="center"/>
              <w:rPr>
                <w:rFonts w:ascii="楷体_GB2312" w:eastAsia="楷体_GB2312"/>
                <w:sz w:val="28"/>
                <w:szCs w:val="28"/>
              </w:rPr>
            </w:pPr>
          </w:p>
          <w:p>
            <w:pPr>
              <w:spacing w:line="540" w:lineRule="exact"/>
              <w:jc w:val="center"/>
              <w:rPr>
                <w:rFonts w:ascii="楷体_GB2312" w:eastAsia="楷体_GB2312"/>
                <w:sz w:val="28"/>
                <w:szCs w:val="28"/>
              </w:rPr>
            </w:pPr>
            <w:r>
              <w:rPr>
                <w:rFonts w:hint="eastAsia" w:ascii="楷体_GB2312" w:eastAsia="楷体_GB2312"/>
                <w:sz w:val="28"/>
                <w:szCs w:val="28"/>
              </w:rPr>
              <w:t>版</w:t>
            </w:r>
          </w:p>
        </w:tc>
        <w:tc>
          <w:tcPr>
            <w:tcW w:w="6107" w:type="dxa"/>
            <w:noWrap/>
            <w:vAlign w:val="center"/>
          </w:tcPr>
          <w:p>
            <w:pPr>
              <w:spacing w:line="540" w:lineRule="exact"/>
              <w:rPr>
                <w:rFonts w:ascii="楷体_GB2312" w:eastAsia="楷体_GB2312"/>
                <w:sz w:val="24"/>
                <w:szCs w:val="24"/>
              </w:rPr>
            </w:pPr>
            <w:r>
              <w:rPr>
                <w:rFonts w:hint="eastAsia" w:ascii="楷体_GB2312" w:eastAsia="楷体_GB2312"/>
                <w:sz w:val="24"/>
                <w:szCs w:val="24"/>
              </w:rPr>
              <w:t>国家级权威出版社出版</w:t>
            </w:r>
          </w:p>
        </w:tc>
        <w:tc>
          <w:tcPr>
            <w:tcW w:w="1098"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22</w:t>
            </w:r>
          </w:p>
        </w:tc>
        <w:tc>
          <w:tcPr>
            <w:tcW w:w="894"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43" w:type="dxa"/>
            <w:vMerge w:val="continue"/>
            <w:noWrap/>
            <w:vAlign w:val="center"/>
          </w:tcPr>
          <w:p/>
        </w:tc>
        <w:tc>
          <w:tcPr>
            <w:tcW w:w="6107" w:type="dxa"/>
            <w:noWrap/>
            <w:vAlign w:val="center"/>
          </w:tcPr>
          <w:p>
            <w:pPr>
              <w:spacing w:line="540" w:lineRule="exact"/>
              <w:rPr>
                <w:rFonts w:ascii="楷体_GB2312" w:eastAsia="楷体_GB2312"/>
                <w:sz w:val="24"/>
                <w:szCs w:val="24"/>
              </w:rPr>
            </w:pPr>
            <w:r>
              <w:rPr>
                <w:rFonts w:hint="eastAsia" w:ascii="楷体_GB2312" w:eastAsia="楷体_GB2312"/>
                <w:sz w:val="24"/>
                <w:szCs w:val="24"/>
              </w:rPr>
              <w:t>国家级出版社出版</w:t>
            </w:r>
          </w:p>
        </w:tc>
        <w:tc>
          <w:tcPr>
            <w:tcW w:w="1098"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19</w:t>
            </w:r>
          </w:p>
        </w:tc>
        <w:tc>
          <w:tcPr>
            <w:tcW w:w="894"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43" w:type="dxa"/>
            <w:vMerge w:val="continue"/>
            <w:noWrap/>
            <w:vAlign w:val="center"/>
          </w:tcPr>
          <w:p/>
        </w:tc>
        <w:tc>
          <w:tcPr>
            <w:tcW w:w="6107" w:type="dxa"/>
            <w:noWrap/>
            <w:vAlign w:val="center"/>
          </w:tcPr>
          <w:p>
            <w:pPr>
              <w:spacing w:line="540" w:lineRule="exact"/>
              <w:rPr>
                <w:rFonts w:ascii="楷体_GB2312" w:eastAsia="楷体_GB2312"/>
                <w:sz w:val="24"/>
                <w:szCs w:val="24"/>
              </w:rPr>
            </w:pPr>
            <w:r>
              <w:rPr>
                <w:rFonts w:hint="eastAsia" w:ascii="楷体_GB2312" w:eastAsia="楷体_GB2312"/>
                <w:sz w:val="24"/>
                <w:szCs w:val="24"/>
              </w:rPr>
              <w:t>省级出版社出版</w:t>
            </w:r>
          </w:p>
        </w:tc>
        <w:tc>
          <w:tcPr>
            <w:tcW w:w="1098"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15</w:t>
            </w:r>
          </w:p>
        </w:tc>
        <w:tc>
          <w:tcPr>
            <w:tcW w:w="894"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43" w:type="dxa"/>
            <w:vMerge w:val="continue"/>
            <w:noWrap/>
            <w:vAlign w:val="center"/>
          </w:tcPr>
          <w:p/>
        </w:tc>
        <w:tc>
          <w:tcPr>
            <w:tcW w:w="6107" w:type="dxa"/>
            <w:noWrap/>
            <w:vAlign w:val="center"/>
          </w:tcPr>
          <w:p>
            <w:pPr>
              <w:spacing w:line="540" w:lineRule="exact"/>
              <w:rPr>
                <w:rFonts w:ascii="楷体_GB2312" w:eastAsia="楷体_GB2312"/>
                <w:sz w:val="24"/>
                <w:szCs w:val="24"/>
              </w:rPr>
            </w:pPr>
            <w:r>
              <w:rPr>
                <w:rFonts w:hint="eastAsia" w:ascii="楷体_GB2312" w:eastAsia="楷体_GB2312"/>
                <w:sz w:val="24"/>
                <w:szCs w:val="24"/>
              </w:rPr>
              <w:t>其他出版社出版</w:t>
            </w:r>
          </w:p>
        </w:tc>
        <w:tc>
          <w:tcPr>
            <w:tcW w:w="1098"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12</w:t>
            </w:r>
          </w:p>
        </w:tc>
        <w:tc>
          <w:tcPr>
            <w:tcW w:w="894"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43" w:type="dxa"/>
            <w:vMerge w:val="restart"/>
            <w:noWrap/>
            <w:vAlign w:val="center"/>
          </w:tcPr>
          <w:p>
            <w:pPr>
              <w:spacing w:line="540" w:lineRule="exact"/>
              <w:jc w:val="center"/>
              <w:rPr>
                <w:rFonts w:ascii="楷体_GB2312" w:eastAsia="楷体_GB2312"/>
                <w:sz w:val="28"/>
                <w:szCs w:val="28"/>
              </w:rPr>
            </w:pPr>
            <w:r>
              <w:rPr>
                <w:rFonts w:hint="eastAsia" w:ascii="楷体_GB2312" w:eastAsia="楷体_GB2312"/>
                <w:sz w:val="28"/>
                <w:szCs w:val="28"/>
              </w:rPr>
              <w:t>评介评价</w:t>
            </w:r>
          </w:p>
        </w:tc>
        <w:tc>
          <w:tcPr>
            <w:tcW w:w="6107" w:type="dxa"/>
            <w:noWrap/>
            <w:vAlign w:val="center"/>
          </w:tcPr>
          <w:p>
            <w:pPr>
              <w:spacing w:line="540" w:lineRule="exact"/>
              <w:rPr>
                <w:rFonts w:ascii="楷体_GB2312" w:eastAsia="楷体_GB2312"/>
                <w:sz w:val="24"/>
                <w:szCs w:val="24"/>
              </w:rPr>
            </w:pPr>
            <w:r>
              <w:rPr>
                <w:rFonts w:hint="eastAsia" w:ascii="楷体_GB2312" w:eastAsia="楷体_GB2312"/>
                <w:sz w:val="24"/>
                <w:szCs w:val="24"/>
              </w:rPr>
              <w:t>国家级权威报刊评介、评价的成果或国家社科基金项目。</w:t>
            </w:r>
          </w:p>
        </w:tc>
        <w:tc>
          <w:tcPr>
            <w:tcW w:w="1098"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18</w:t>
            </w:r>
          </w:p>
        </w:tc>
        <w:tc>
          <w:tcPr>
            <w:tcW w:w="894"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43" w:type="dxa"/>
            <w:vMerge w:val="continue"/>
            <w:noWrap/>
          </w:tcPr>
          <w:p/>
        </w:tc>
        <w:tc>
          <w:tcPr>
            <w:tcW w:w="6107" w:type="dxa"/>
            <w:noWrap/>
            <w:vAlign w:val="center"/>
          </w:tcPr>
          <w:p>
            <w:pPr>
              <w:spacing w:line="540" w:lineRule="exact"/>
              <w:rPr>
                <w:rFonts w:ascii="楷体_GB2312" w:eastAsia="楷体_GB2312"/>
                <w:sz w:val="24"/>
                <w:szCs w:val="24"/>
              </w:rPr>
            </w:pPr>
            <w:r>
              <w:rPr>
                <w:rFonts w:hint="eastAsia" w:ascii="楷体_GB2312" w:eastAsia="楷体_GB2312"/>
                <w:sz w:val="24"/>
                <w:szCs w:val="24"/>
              </w:rPr>
              <w:t>国家级核心报刊、人民网、光明网评介、评价的成果。</w:t>
            </w:r>
          </w:p>
        </w:tc>
        <w:tc>
          <w:tcPr>
            <w:tcW w:w="1098"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14</w:t>
            </w:r>
          </w:p>
        </w:tc>
        <w:tc>
          <w:tcPr>
            <w:tcW w:w="894"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43" w:type="dxa"/>
            <w:vMerge w:val="continue"/>
            <w:noWrap/>
          </w:tcPr>
          <w:p/>
        </w:tc>
        <w:tc>
          <w:tcPr>
            <w:tcW w:w="6107" w:type="dxa"/>
            <w:noWrap/>
            <w:vAlign w:val="center"/>
          </w:tcPr>
          <w:p>
            <w:pPr>
              <w:spacing w:line="540" w:lineRule="exact"/>
              <w:rPr>
                <w:rFonts w:ascii="楷体_GB2312" w:eastAsia="楷体_GB2312"/>
                <w:sz w:val="24"/>
                <w:szCs w:val="24"/>
              </w:rPr>
            </w:pPr>
            <w:r>
              <w:rPr>
                <w:rFonts w:hint="eastAsia" w:ascii="楷体_GB2312" w:eastAsia="楷体_GB2312"/>
                <w:sz w:val="24"/>
                <w:szCs w:val="24"/>
              </w:rPr>
              <w:t>省级报刊评介、评价的成果。</w:t>
            </w:r>
          </w:p>
        </w:tc>
        <w:tc>
          <w:tcPr>
            <w:tcW w:w="1098"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11</w:t>
            </w:r>
          </w:p>
        </w:tc>
        <w:tc>
          <w:tcPr>
            <w:tcW w:w="894"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3" w:type="dxa"/>
            <w:vMerge w:val="continue"/>
            <w:noWrap/>
          </w:tcPr>
          <w:p/>
        </w:tc>
        <w:tc>
          <w:tcPr>
            <w:tcW w:w="6107" w:type="dxa"/>
            <w:noWrap/>
            <w:vAlign w:val="center"/>
          </w:tcPr>
          <w:p>
            <w:pPr>
              <w:spacing w:line="540" w:lineRule="exact"/>
              <w:rPr>
                <w:rFonts w:ascii="楷体_GB2312" w:eastAsia="楷体_GB2312"/>
                <w:sz w:val="24"/>
                <w:szCs w:val="24"/>
              </w:rPr>
            </w:pPr>
            <w:r>
              <w:rPr>
                <w:rFonts w:hint="eastAsia" w:ascii="楷体_GB2312" w:eastAsia="楷体_GB2312"/>
                <w:sz w:val="24"/>
                <w:szCs w:val="24"/>
              </w:rPr>
              <w:t>其他公开报刊评介、评价的成果。</w:t>
            </w:r>
          </w:p>
        </w:tc>
        <w:tc>
          <w:tcPr>
            <w:tcW w:w="1098"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7</w:t>
            </w:r>
          </w:p>
        </w:tc>
        <w:tc>
          <w:tcPr>
            <w:tcW w:w="894"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643" w:type="dxa"/>
            <w:noWrap/>
            <w:vAlign w:val="center"/>
          </w:tcPr>
          <w:p>
            <w:pPr>
              <w:spacing w:line="540" w:lineRule="exact"/>
              <w:jc w:val="center"/>
              <w:rPr>
                <w:rFonts w:ascii="楷体_GB2312" w:eastAsia="楷体_GB2312"/>
                <w:sz w:val="28"/>
                <w:szCs w:val="28"/>
              </w:rPr>
            </w:pPr>
            <w:r>
              <w:rPr>
                <w:rFonts w:hint="eastAsia" w:ascii="楷体_GB2312" w:eastAsia="楷体_GB2312"/>
                <w:sz w:val="28"/>
                <w:szCs w:val="28"/>
              </w:rPr>
              <w:t>观点引用</w:t>
            </w:r>
          </w:p>
        </w:tc>
        <w:tc>
          <w:tcPr>
            <w:tcW w:w="6107" w:type="dxa"/>
            <w:noWrap/>
            <w:vAlign w:val="center"/>
          </w:tcPr>
          <w:p>
            <w:pPr>
              <w:spacing w:line="540" w:lineRule="exact"/>
              <w:rPr>
                <w:rFonts w:ascii="楷体_GB2312" w:eastAsia="楷体_GB2312"/>
                <w:sz w:val="24"/>
                <w:szCs w:val="24"/>
              </w:rPr>
            </w:pPr>
            <w:r>
              <w:rPr>
                <w:rFonts w:hint="eastAsia" w:ascii="楷体_GB2312" w:eastAsia="楷体_GB2312"/>
                <w:sz w:val="24"/>
                <w:szCs w:val="24"/>
              </w:rPr>
              <w:t>每引用一次分值为0.5分，累计得分不得超过10分。</w:t>
            </w:r>
          </w:p>
        </w:tc>
        <w:tc>
          <w:tcPr>
            <w:tcW w:w="1098"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10</w:t>
            </w:r>
          </w:p>
        </w:tc>
        <w:tc>
          <w:tcPr>
            <w:tcW w:w="894"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750" w:type="dxa"/>
            <w:gridSpan w:val="2"/>
            <w:noWrap/>
            <w:vAlign w:val="center"/>
          </w:tcPr>
          <w:p>
            <w:pPr>
              <w:spacing w:line="540" w:lineRule="exact"/>
              <w:rPr>
                <w:rFonts w:ascii="楷体_GB2312" w:eastAsia="楷体_GB2312"/>
                <w:sz w:val="28"/>
                <w:szCs w:val="28"/>
              </w:rPr>
            </w:pPr>
            <w:r>
              <w:rPr>
                <w:rFonts w:hint="eastAsia" w:ascii="楷体_GB2312" w:eastAsia="楷体_GB2312"/>
                <w:sz w:val="28"/>
                <w:szCs w:val="28"/>
              </w:rPr>
              <w:t>综合得分</w:t>
            </w:r>
          </w:p>
        </w:tc>
        <w:tc>
          <w:tcPr>
            <w:tcW w:w="1992" w:type="dxa"/>
            <w:gridSpan w:val="2"/>
            <w:noWrap/>
            <w:vAlign w:val="center"/>
          </w:tcPr>
          <w:p>
            <w:pPr>
              <w:spacing w:line="540" w:lineRule="exact"/>
              <w:rPr>
                <w:rFonts w:ascii="楷体_GB2312" w:eastAsia="楷体_GB2312"/>
                <w:sz w:val="28"/>
                <w:szCs w:val="28"/>
              </w:rPr>
            </w:pPr>
          </w:p>
        </w:tc>
      </w:tr>
    </w:tbl>
    <w:p>
      <w:pPr>
        <w:spacing w:line="540" w:lineRule="exact"/>
        <w:rPr>
          <w:rFonts w:ascii="楷体_GB2312" w:eastAsia="楷体_GB2312"/>
          <w:sz w:val="28"/>
          <w:szCs w:val="28"/>
        </w:rPr>
      </w:pPr>
      <w:r>
        <w:rPr>
          <w:rFonts w:hint="eastAsia" w:ascii="楷体_GB2312" w:eastAsia="楷体_GB2312"/>
          <w:sz w:val="28"/>
          <w:szCs w:val="28"/>
        </w:rPr>
        <w:t>注：1、评分表中得分合计为每个项目的最高分值之和。即：</w:t>
      </w:r>
    </w:p>
    <w:p>
      <w:pPr>
        <w:spacing w:line="540" w:lineRule="exact"/>
        <w:ind w:firstLine="840" w:firstLineChars="300"/>
        <w:rPr>
          <w:rFonts w:ascii="楷体_GB2312" w:eastAsia="楷体_GB2312"/>
          <w:sz w:val="28"/>
          <w:szCs w:val="28"/>
        </w:rPr>
      </w:pPr>
      <w:r>
        <w:rPr>
          <w:rFonts w:hint="eastAsia" w:ascii="楷体_GB2312" w:eastAsia="楷体_GB2312"/>
          <w:sz w:val="28"/>
          <w:szCs w:val="28"/>
        </w:rPr>
        <w:t>16+10+10+14+22+18+10=100</w:t>
      </w:r>
    </w:p>
    <w:p>
      <w:pPr>
        <w:spacing w:line="540" w:lineRule="exact"/>
        <w:ind w:firstLine="560" w:firstLineChars="200"/>
        <w:rPr>
          <w:rFonts w:ascii="楷体_GB2312" w:eastAsia="楷体_GB2312"/>
          <w:spacing w:val="-2"/>
          <w:sz w:val="28"/>
          <w:szCs w:val="28"/>
        </w:rPr>
      </w:pPr>
      <w:r>
        <w:rPr>
          <w:rFonts w:hint="eastAsia" w:ascii="楷体_GB2312" w:eastAsia="楷体_GB2312"/>
          <w:sz w:val="28"/>
          <w:szCs w:val="28"/>
        </w:rPr>
        <w:t>2、</w:t>
      </w:r>
      <w:r>
        <w:rPr>
          <w:rFonts w:hint="eastAsia" w:ascii="楷体_GB2312" w:eastAsia="楷体_GB2312"/>
          <w:spacing w:val="-2"/>
          <w:sz w:val="28"/>
          <w:szCs w:val="28"/>
        </w:rPr>
        <w:t>评介评价中出现多级报刊评价的按最高项分值计算，不得累计。</w:t>
      </w:r>
    </w:p>
    <w:p>
      <w:pPr>
        <w:spacing w:line="540" w:lineRule="exact"/>
        <w:ind w:firstLine="560" w:firstLineChars="200"/>
        <w:rPr>
          <w:rFonts w:ascii="楷体_GB2312" w:eastAsia="楷体_GB2312"/>
          <w:sz w:val="28"/>
          <w:szCs w:val="28"/>
        </w:rPr>
      </w:pPr>
      <w:r>
        <w:rPr>
          <w:rFonts w:hint="eastAsia" w:ascii="楷体_GB2312" w:eastAsia="楷体_GB2312"/>
          <w:sz w:val="28"/>
          <w:szCs w:val="28"/>
        </w:rPr>
        <w:t>3、出版社分级目录请参考甘人职[2014]33号文。</w:t>
      </w:r>
    </w:p>
    <w:p>
      <w:pPr>
        <w:ind w:firstLine="980" w:firstLineChars="350"/>
        <w:rPr>
          <w:rFonts w:ascii="楷体_GB2312" w:eastAsia="楷体_GB2312"/>
          <w:sz w:val="28"/>
          <w:szCs w:val="28"/>
        </w:rPr>
      </w:pPr>
      <w:r>
        <w:rPr>
          <w:rFonts w:hint="eastAsia" w:ascii="楷体_GB2312" w:eastAsia="楷体_GB2312"/>
          <w:sz w:val="28"/>
          <w:szCs w:val="28"/>
        </w:rPr>
        <w:t>签名：</w:t>
      </w:r>
    </w:p>
    <w:p>
      <w:pPr>
        <w:ind w:firstLine="4200" w:firstLineChars="1500"/>
        <w:rPr>
          <w:rFonts w:ascii="楷体_GB2312" w:eastAsia="楷体_GB2312"/>
          <w:sz w:val="28"/>
          <w:szCs w:val="28"/>
        </w:rPr>
      </w:pPr>
      <w:r>
        <w:rPr>
          <w:rFonts w:hint="eastAsia" w:ascii="楷体_GB2312" w:eastAsia="楷体_GB2312"/>
          <w:sz w:val="28"/>
          <w:szCs w:val="28"/>
        </w:rPr>
        <w:t xml:space="preserve">         年    月    日</w:t>
      </w:r>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甘肃省哲学社会科学优秀成果评审评分参考表</w:t>
      </w:r>
    </w:p>
    <w:p>
      <w:pPr>
        <w:ind w:right="-340"/>
        <w:jc w:val="center"/>
        <w:rPr>
          <w:rFonts w:ascii="楷体_GB2312" w:eastAsia="楷体_GB2312" w:cs="楷体_GB2312"/>
          <w:sz w:val="32"/>
          <w:szCs w:val="32"/>
        </w:rPr>
      </w:pPr>
      <w:r>
        <w:rPr>
          <w:rFonts w:hint="eastAsia" w:ascii="楷体_GB2312" w:eastAsia="楷体_GB2312" w:cs="楷体_GB2312"/>
          <w:sz w:val="32"/>
          <w:szCs w:val="32"/>
        </w:rPr>
        <w:t>（论文类研究成果）</w:t>
      </w:r>
    </w:p>
    <w:p>
      <w:pPr>
        <w:ind w:right="19"/>
        <w:rPr>
          <w:rFonts w:ascii="楷体_GB2312" w:eastAsia="楷体_GB2312"/>
          <w:sz w:val="28"/>
          <w:szCs w:val="28"/>
        </w:rPr>
      </w:pPr>
      <w:r>
        <w:rPr>
          <w:rFonts w:hint="eastAsia" w:ascii="楷体_GB2312" w:eastAsia="楷体_GB2312"/>
          <w:sz w:val="28"/>
          <w:szCs w:val="28"/>
        </w:rPr>
        <w:t xml:space="preserve">成果名称：                                             </w:t>
      </w:r>
      <w:r>
        <w:rPr>
          <w:rFonts w:hint="eastAsia" w:eastAsia="楷体_GB2312"/>
          <w:sz w:val="28"/>
          <w:szCs w:val="28"/>
        </w:rPr>
        <w:t xml:space="preserve">表1 </w:t>
      </w: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6314"/>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768" w:type="dxa"/>
            <w:gridSpan w:val="2"/>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指</w:t>
            </w:r>
            <w:r>
              <w:rPr>
                <w:rFonts w:eastAsia="楷体_GB2312"/>
                <w:sz w:val="28"/>
                <w:szCs w:val="28"/>
              </w:rPr>
              <w:t xml:space="preserve">    </w:t>
            </w:r>
            <w:r>
              <w:rPr>
                <w:rFonts w:hint="eastAsia" w:eastAsia="楷体_GB2312"/>
                <w:sz w:val="28"/>
                <w:szCs w:val="28"/>
              </w:rPr>
              <w:t>标</w:t>
            </w:r>
            <w:r>
              <w:rPr>
                <w:rFonts w:eastAsia="楷体_GB2312"/>
                <w:sz w:val="28"/>
                <w:szCs w:val="28"/>
              </w:rPr>
              <w:t xml:space="preserve">    </w:t>
            </w:r>
            <w:r>
              <w:rPr>
                <w:rFonts w:hint="eastAsia" w:eastAsia="楷体_GB2312"/>
                <w:sz w:val="28"/>
                <w:szCs w:val="28"/>
              </w:rPr>
              <w:t>内</w:t>
            </w:r>
            <w:r>
              <w:rPr>
                <w:rFonts w:eastAsia="楷体_GB2312"/>
                <w:sz w:val="28"/>
                <w:szCs w:val="28"/>
              </w:rPr>
              <w:t xml:space="preserve">    </w:t>
            </w:r>
            <w:r>
              <w:rPr>
                <w:rFonts w:hint="eastAsia" w:eastAsia="楷体_GB2312"/>
                <w:sz w:val="28"/>
                <w:szCs w:val="28"/>
              </w:rPr>
              <w:t>容</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eastAsia="楷体_GB2312"/>
                <w:b/>
                <w:sz w:val="28"/>
                <w:szCs w:val="28"/>
              </w:rPr>
            </w:pPr>
            <w:r>
              <w:rPr>
                <w:rFonts w:hint="eastAsia" w:eastAsia="楷体_GB2312"/>
                <w:sz w:val="28"/>
                <w:szCs w:val="28"/>
              </w:rPr>
              <w:t>分值</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eastAsia="楷体_GB2312"/>
                <w:sz w:val="28"/>
                <w:szCs w:val="28"/>
              </w:rPr>
            </w:pPr>
            <w:r>
              <w:rPr>
                <w:rFonts w:hint="eastAsia" w:eastAsia="楷体_GB2312"/>
                <w:sz w:val="28"/>
                <w:szCs w:val="28"/>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454" w:type="dxa"/>
            <w:vMerge w:val="restart"/>
            <w:tcBorders>
              <w:top w:val="single" w:color="auto" w:sz="4" w:space="0"/>
              <w:left w:val="single" w:color="auto" w:sz="4" w:space="0"/>
              <w:right w:val="single" w:color="auto" w:sz="4" w:space="0"/>
            </w:tcBorders>
            <w:noWrap/>
            <w:vAlign w:val="center"/>
          </w:tcPr>
          <w:p>
            <w:pPr>
              <w:spacing w:line="540" w:lineRule="exact"/>
              <w:jc w:val="center"/>
              <w:rPr>
                <w:rFonts w:eastAsia="楷体_GB2312"/>
                <w:sz w:val="28"/>
                <w:szCs w:val="28"/>
              </w:rPr>
            </w:pPr>
          </w:p>
          <w:p>
            <w:pPr>
              <w:spacing w:line="540" w:lineRule="exact"/>
              <w:jc w:val="center"/>
              <w:rPr>
                <w:rFonts w:eastAsia="楷体_GB2312"/>
                <w:sz w:val="28"/>
                <w:szCs w:val="28"/>
              </w:rPr>
            </w:pPr>
            <w:r>
              <w:rPr>
                <w:rFonts w:hint="eastAsia" w:eastAsia="楷体_GB2312"/>
                <w:sz w:val="28"/>
                <w:szCs w:val="28"/>
              </w:rPr>
              <w:t>创新程度</w:t>
            </w:r>
          </w:p>
        </w:tc>
        <w:tc>
          <w:tcPr>
            <w:tcW w:w="6314"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eastAsia="楷体_GB2312"/>
                <w:sz w:val="24"/>
                <w:szCs w:val="24"/>
              </w:rPr>
            </w:pPr>
            <w:r>
              <w:rPr>
                <w:rFonts w:hint="eastAsia" w:eastAsia="楷体_GB2312"/>
                <w:sz w:val="24"/>
                <w:szCs w:val="24"/>
              </w:rPr>
              <w:t>提出新的重要理论观点，研究取得突破性进展；或提出新的研究方法，使研究取得突破性进展；或通过新的论证，丰富和完善了某种学说或重要理论观点，使研究取得突破性进展；或对重要领域或重要问题作出新的系统分析和概括，得出新的认识。</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12-16</w:t>
            </w:r>
          </w:p>
        </w:tc>
        <w:tc>
          <w:tcPr>
            <w:tcW w:w="900"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454" w:type="dxa"/>
            <w:vMerge w:val="continue"/>
            <w:tcBorders>
              <w:left w:val="single" w:color="auto" w:sz="4" w:space="0"/>
              <w:right w:val="single" w:color="auto" w:sz="4" w:space="0"/>
            </w:tcBorders>
            <w:noWrap/>
            <w:vAlign w:val="center"/>
          </w:tcPr>
          <w:p/>
        </w:tc>
        <w:tc>
          <w:tcPr>
            <w:tcW w:w="6314"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eastAsia="楷体_GB2312"/>
                <w:sz w:val="24"/>
                <w:szCs w:val="24"/>
              </w:rPr>
            </w:pPr>
            <w:r>
              <w:rPr>
                <w:rFonts w:hint="eastAsia" w:eastAsia="楷体_GB2312"/>
                <w:sz w:val="24"/>
                <w:szCs w:val="24"/>
              </w:rPr>
              <w:t>提出新的理论观点，研究有所深入；或运用新的研究方法，使研究有所深入；或通过新的论证，丰富和完善了某种重要理论观点；或对重要领域中的某一问题作出新的较系统的分析和概括。</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6-11</w:t>
            </w:r>
          </w:p>
        </w:tc>
        <w:tc>
          <w:tcPr>
            <w:tcW w:w="900"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54" w:type="dxa"/>
            <w:vMerge w:val="continue"/>
            <w:tcBorders>
              <w:left w:val="single" w:color="auto" w:sz="4" w:space="0"/>
              <w:bottom w:val="single" w:color="auto" w:sz="4" w:space="0"/>
              <w:right w:val="single" w:color="auto" w:sz="4" w:space="0"/>
            </w:tcBorders>
            <w:noWrap/>
            <w:vAlign w:val="center"/>
          </w:tcPr>
          <w:p/>
        </w:tc>
        <w:tc>
          <w:tcPr>
            <w:tcW w:w="6314" w:type="dxa"/>
            <w:tcBorders>
              <w:top w:val="single" w:color="auto" w:sz="4" w:space="0"/>
              <w:left w:val="single" w:color="auto" w:sz="4" w:space="0"/>
              <w:bottom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提出具有启发性的见解；或用新的研究方法，作出有新意的解释；或通过新的论证，得出具有启发性的新认识；或对某领域的某一问题作出新的分析和概括。</w:t>
            </w:r>
          </w:p>
        </w:tc>
        <w:tc>
          <w:tcPr>
            <w:tcW w:w="108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2-5</w:t>
            </w:r>
          </w:p>
        </w:tc>
        <w:tc>
          <w:tcPr>
            <w:tcW w:w="900"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54" w:type="dxa"/>
            <w:vMerge w:val="restart"/>
            <w:tcBorders>
              <w:top w:val="single" w:color="auto" w:sz="4" w:space="0"/>
              <w:left w:val="single" w:color="auto" w:sz="4" w:space="0"/>
              <w:righ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完备程度</w:t>
            </w:r>
          </w:p>
        </w:tc>
        <w:tc>
          <w:tcPr>
            <w:tcW w:w="6314"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 xml:space="preserve">理论前提科学，资料准确充实，研究方法科学适当；概念明确，逻辑严密；引证规范，所有引用资料、观点来源清楚。 </w:t>
            </w:r>
          </w:p>
        </w:tc>
        <w:tc>
          <w:tcPr>
            <w:tcW w:w="1080"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8-10</w:t>
            </w:r>
          </w:p>
        </w:tc>
        <w:tc>
          <w:tcPr>
            <w:tcW w:w="900"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54" w:type="dxa"/>
            <w:vMerge w:val="continue"/>
            <w:tcBorders>
              <w:left w:val="single" w:color="auto" w:sz="4" w:space="0"/>
              <w:right w:val="single" w:color="auto" w:sz="4" w:space="0"/>
            </w:tcBorders>
            <w:noWrap/>
            <w:vAlign w:val="center"/>
          </w:tcPr>
          <w:p/>
        </w:tc>
        <w:tc>
          <w:tcPr>
            <w:tcW w:w="6314" w:type="dxa"/>
            <w:tcBorders>
              <w:top w:val="single" w:color="auto" w:sz="4" w:space="0"/>
              <w:left w:val="single" w:color="auto" w:sz="4" w:space="0"/>
              <w:right w:val="single" w:color="auto" w:sz="4" w:space="0"/>
            </w:tcBorders>
            <w:noWrap/>
          </w:tcPr>
          <w:p>
            <w:pPr>
              <w:rPr>
                <w:rFonts w:eastAsia="楷体_GB2312"/>
                <w:sz w:val="24"/>
                <w:szCs w:val="24"/>
              </w:rPr>
            </w:pPr>
            <w:r>
              <w:rPr>
                <w:rFonts w:hint="eastAsia" w:eastAsia="楷体_GB2312"/>
                <w:sz w:val="24"/>
                <w:szCs w:val="24"/>
              </w:rPr>
              <w:t>理论前提科学，资料较准确充实，研究方法科学适当；主要概念明确，合乎逻辑；引证规范。</w:t>
            </w:r>
          </w:p>
        </w:tc>
        <w:tc>
          <w:tcPr>
            <w:tcW w:w="1080"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5-7</w:t>
            </w:r>
          </w:p>
        </w:tc>
        <w:tc>
          <w:tcPr>
            <w:tcW w:w="900"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54" w:type="dxa"/>
            <w:vMerge w:val="continue"/>
            <w:tcBorders>
              <w:left w:val="single" w:color="auto" w:sz="4" w:space="0"/>
              <w:right w:val="single" w:color="auto" w:sz="4" w:space="0"/>
            </w:tcBorders>
            <w:noWrap/>
            <w:vAlign w:val="center"/>
          </w:tcPr>
          <w:p/>
        </w:tc>
        <w:tc>
          <w:tcPr>
            <w:tcW w:w="6314"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理论前提科学，资料充实，研究方法科学适当；主要概念较明确，条理清晰；引证基本规范。</w:t>
            </w:r>
          </w:p>
        </w:tc>
        <w:tc>
          <w:tcPr>
            <w:tcW w:w="1080"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2-4</w:t>
            </w:r>
          </w:p>
        </w:tc>
        <w:tc>
          <w:tcPr>
            <w:tcW w:w="900"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454" w:type="dxa"/>
            <w:vMerge w:val="restart"/>
            <w:tcBorders>
              <w:top w:val="single" w:color="auto" w:sz="4" w:space="0"/>
              <w:left w:val="single" w:color="auto" w:sz="4" w:space="0"/>
              <w:righ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难易程度</w:t>
            </w:r>
          </w:p>
        </w:tc>
        <w:tc>
          <w:tcPr>
            <w:tcW w:w="6314"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问题十分复杂，或理论难点多，或学科基础薄弱；资料的搜集与处理难度很大。</w:t>
            </w:r>
          </w:p>
        </w:tc>
        <w:tc>
          <w:tcPr>
            <w:tcW w:w="1080"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8-10</w:t>
            </w:r>
          </w:p>
          <w:p>
            <w:pPr>
              <w:spacing w:line="240" w:lineRule="exact"/>
              <w:jc w:val="center"/>
              <w:rPr>
                <w:rFonts w:eastAsia="楷体_GB2312"/>
                <w:b/>
                <w:sz w:val="28"/>
                <w:szCs w:val="28"/>
              </w:rPr>
            </w:pPr>
          </w:p>
        </w:tc>
        <w:tc>
          <w:tcPr>
            <w:tcW w:w="900"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54" w:type="dxa"/>
            <w:vMerge w:val="continue"/>
            <w:tcBorders>
              <w:left w:val="single" w:color="auto" w:sz="4" w:space="0"/>
              <w:right w:val="single" w:color="auto" w:sz="4" w:space="0"/>
            </w:tcBorders>
            <w:noWrap/>
            <w:vAlign w:val="center"/>
          </w:tcPr>
          <w:p/>
        </w:tc>
        <w:tc>
          <w:tcPr>
            <w:tcW w:w="6314"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问题复杂，或有理论难度，或学科基础较薄弱；资料的搜集与处理难度较大。</w:t>
            </w:r>
          </w:p>
        </w:tc>
        <w:tc>
          <w:tcPr>
            <w:tcW w:w="1080"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5-7</w:t>
            </w:r>
          </w:p>
        </w:tc>
        <w:tc>
          <w:tcPr>
            <w:tcW w:w="900"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54" w:type="dxa"/>
            <w:vMerge w:val="continue"/>
            <w:tcBorders>
              <w:left w:val="single" w:color="auto" w:sz="4" w:space="0"/>
              <w:right w:val="single" w:color="auto" w:sz="4" w:space="0"/>
            </w:tcBorders>
            <w:noWrap/>
            <w:vAlign w:val="center"/>
          </w:tcPr>
          <w:p/>
        </w:tc>
        <w:tc>
          <w:tcPr>
            <w:tcW w:w="6314"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问题较复杂，有一定的理论难度；资料的搜集与处理有一定的难度。</w:t>
            </w:r>
          </w:p>
        </w:tc>
        <w:tc>
          <w:tcPr>
            <w:tcW w:w="1080"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2-4</w:t>
            </w:r>
          </w:p>
        </w:tc>
        <w:tc>
          <w:tcPr>
            <w:tcW w:w="900"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454" w:type="dxa"/>
            <w:vMerge w:val="restart"/>
            <w:tcBorders>
              <w:lef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成果价值</w:t>
            </w:r>
          </w:p>
        </w:tc>
        <w:tc>
          <w:tcPr>
            <w:tcW w:w="6314" w:type="dxa"/>
            <w:tcBorders>
              <w:left w:val="single" w:color="auto" w:sz="4" w:space="0"/>
            </w:tcBorders>
            <w:noWrap/>
            <w:vAlign w:val="center"/>
          </w:tcPr>
          <w:p>
            <w:pPr>
              <w:rPr>
                <w:rFonts w:eastAsia="楷体_GB2312"/>
                <w:sz w:val="24"/>
                <w:szCs w:val="24"/>
              </w:rPr>
            </w:pPr>
            <w:r>
              <w:rPr>
                <w:rFonts w:hint="eastAsia" w:eastAsia="楷体_GB2312"/>
                <w:sz w:val="24"/>
                <w:szCs w:val="24"/>
              </w:rPr>
              <w:t>对解决重大理论或现实问题有推动作用；或对学科发展有奠基作用。</w:t>
            </w:r>
          </w:p>
        </w:tc>
        <w:tc>
          <w:tcPr>
            <w:tcW w:w="1080" w:type="dxa"/>
            <w:noWrap/>
            <w:vAlign w:val="center"/>
          </w:tcPr>
          <w:p>
            <w:pPr>
              <w:spacing w:line="240" w:lineRule="exact"/>
              <w:jc w:val="center"/>
              <w:rPr>
                <w:rFonts w:eastAsia="楷体_GB2312"/>
                <w:b/>
                <w:sz w:val="28"/>
                <w:szCs w:val="28"/>
              </w:rPr>
            </w:pPr>
            <w:r>
              <w:rPr>
                <w:rFonts w:hint="eastAsia" w:eastAsia="楷体_GB2312"/>
                <w:b/>
                <w:sz w:val="28"/>
                <w:szCs w:val="28"/>
              </w:rPr>
              <w:t>10-14</w:t>
            </w:r>
          </w:p>
        </w:tc>
        <w:tc>
          <w:tcPr>
            <w:tcW w:w="900" w:type="dxa"/>
            <w:noWrap/>
          </w:tcPr>
          <w:p>
            <w:pPr>
              <w:spacing w:line="540" w:lineRule="exact"/>
              <w:rPr>
                <w:rFonts w:ascii="楷体_GB2312"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54" w:type="dxa"/>
            <w:vMerge w:val="continue"/>
            <w:tcBorders>
              <w:left w:val="single" w:color="auto" w:sz="4" w:space="0"/>
            </w:tcBorders>
            <w:noWrap/>
          </w:tcPr>
          <w:p/>
        </w:tc>
        <w:tc>
          <w:tcPr>
            <w:tcW w:w="6314" w:type="dxa"/>
            <w:tcBorders>
              <w:left w:val="single" w:color="auto" w:sz="4" w:space="0"/>
            </w:tcBorders>
            <w:noWrap/>
            <w:vAlign w:val="center"/>
          </w:tcPr>
          <w:p>
            <w:pPr>
              <w:rPr>
                <w:rFonts w:eastAsia="楷体_GB2312"/>
                <w:sz w:val="24"/>
                <w:szCs w:val="24"/>
              </w:rPr>
            </w:pPr>
            <w:r>
              <w:rPr>
                <w:rFonts w:hint="eastAsia" w:eastAsia="楷体_GB2312"/>
                <w:sz w:val="24"/>
                <w:szCs w:val="24"/>
              </w:rPr>
              <w:t>对解决重要理论或现实问题有推动作用；或对学科发展有促进作用。</w:t>
            </w:r>
          </w:p>
        </w:tc>
        <w:tc>
          <w:tcPr>
            <w:tcW w:w="1080" w:type="dxa"/>
            <w:noWrap/>
            <w:vAlign w:val="center"/>
          </w:tcPr>
          <w:p>
            <w:pPr>
              <w:spacing w:line="240" w:lineRule="exact"/>
              <w:jc w:val="center"/>
              <w:rPr>
                <w:rFonts w:eastAsia="楷体_GB2312"/>
                <w:b/>
                <w:sz w:val="28"/>
                <w:szCs w:val="28"/>
              </w:rPr>
            </w:pPr>
            <w:r>
              <w:rPr>
                <w:rFonts w:hint="eastAsia" w:eastAsia="楷体_GB2312"/>
                <w:b/>
                <w:sz w:val="28"/>
                <w:szCs w:val="28"/>
              </w:rPr>
              <w:t>6-9</w:t>
            </w:r>
          </w:p>
        </w:tc>
        <w:tc>
          <w:tcPr>
            <w:tcW w:w="900" w:type="dxa"/>
            <w:noWrap/>
          </w:tcPr>
          <w:p>
            <w:pPr>
              <w:spacing w:line="540" w:lineRule="exact"/>
              <w:rPr>
                <w:rFonts w:ascii="楷体_GB2312"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4" w:type="dxa"/>
            <w:vMerge w:val="continue"/>
            <w:tcBorders>
              <w:left w:val="single" w:color="auto" w:sz="4" w:space="0"/>
            </w:tcBorders>
            <w:noWrap/>
          </w:tcPr>
          <w:p/>
        </w:tc>
        <w:tc>
          <w:tcPr>
            <w:tcW w:w="6314" w:type="dxa"/>
            <w:tcBorders>
              <w:left w:val="single" w:color="auto" w:sz="4" w:space="0"/>
            </w:tcBorders>
            <w:noWrap/>
            <w:vAlign w:val="center"/>
          </w:tcPr>
          <w:p>
            <w:pPr>
              <w:rPr>
                <w:rFonts w:eastAsia="楷体_GB2312"/>
                <w:sz w:val="24"/>
                <w:szCs w:val="24"/>
              </w:rPr>
            </w:pPr>
            <w:r>
              <w:rPr>
                <w:rFonts w:hint="eastAsia" w:eastAsia="楷体_GB2312"/>
                <w:sz w:val="24"/>
                <w:szCs w:val="24"/>
              </w:rPr>
              <w:t>对解决理论或现实问题有推动作用。</w:t>
            </w:r>
          </w:p>
        </w:tc>
        <w:tc>
          <w:tcPr>
            <w:tcW w:w="1080" w:type="dxa"/>
            <w:noWrap/>
            <w:vAlign w:val="center"/>
          </w:tcPr>
          <w:p>
            <w:pPr>
              <w:spacing w:line="240" w:lineRule="exact"/>
              <w:jc w:val="center"/>
              <w:rPr>
                <w:rFonts w:eastAsia="楷体_GB2312"/>
                <w:b/>
                <w:sz w:val="28"/>
                <w:szCs w:val="28"/>
              </w:rPr>
            </w:pPr>
            <w:r>
              <w:rPr>
                <w:rFonts w:hint="eastAsia" w:eastAsia="楷体_GB2312"/>
                <w:b/>
                <w:sz w:val="28"/>
                <w:szCs w:val="28"/>
              </w:rPr>
              <w:t>2-5</w:t>
            </w:r>
          </w:p>
        </w:tc>
        <w:tc>
          <w:tcPr>
            <w:tcW w:w="900" w:type="dxa"/>
            <w:tcBorders>
              <w:bottom w:val="single" w:color="auto" w:sz="4" w:space="0"/>
            </w:tcBorders>
            <w:noWrap/>
          </w:tcPr>
          <w:p>
            <w:pPr>
              <w:spacing w:line="540" w:lineRule="exact"/>
              <w:rPr>
                <w:rFonts w:ascii="楷体_GB2312" w:eastAsia="楷体_GB2312"/>
                <w:sz w:val="30"/>
                <w:szCs w:val="30"/>
              </w:rPr>
            </w:pPr>
          </w:p>
        </w:tc>
      </w:tr>
    </w:tbl>
    <w:p>
      <w:pPr>
        <w:ind w:right="19"/>
        <w:rPr>
          <w:rFonts w:ascii="华文中宋" w:eastAsia="华文中宋"/>
          <w:b/>
          <w:sz w:val="36"/>
          <w:szCs w:val="36"/>
        </w:rPr>
      </w:pPr>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甘肃省哲学社会科学优秀成果评审评分参考表</w:t>
      </w:r>
    </w:p>
    <w:p>
      <w:pPr>
        <w:ind w:right="-340"/>
        <w:jc w:val="center"/>
        <w:rPr>
          <w:rFonts w:ascii="楷体_GB2312" w:eastAsia="楷体_GB2312" w:cs="楷体_GB2312"/>
          <w:sz w:val="32"/>
          <w:szCs w:val="32"/>
        </w:rPr>
      </w:pPr>
      <w:r>
        <w:rPr>
          <w:rFonts w:hint="eastAsia" w:ascii="楷体_GB2312" w:eastAsia="楷体_GB2312" w:cs="楷体_GB2312"/>
          <w:sz w:val="32"/>
          <w:szCs w:val="32"/>
        </w:rPr>
        <w:t>（论文类研究成果）</w:t>
      </w:r>
    </w:p>
    <w:p>
      <w:pPr>
        <w:ind w:firstLine="7725" w:firstLineChars="2759"/>
        <w:rPr>
          <w:sz w:val="28"/>
          <w:szCs w:val="28"/>
        </w:rPr>
      </w:pPr>
      <w:r>
        <w:rPr>
          <w:rFonts w:hint="eastAsia"/>
          <w:sz w:val="28"/>
          <w:szCs w:val="28"/>
        </w:rPr>
        <w:t>表2</w:t>
      </w:r>
    </w:p>
    <w:tbl>
      <w:tblPr>
        <w:tblStyle w:val="2"/>
        <w:tblW w:w="8736"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288"/>
        <w:gridCol w:w="109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3" w:hRule="atLeast"/>
        </w:trPr>
        <w:tc>
          <w:tcPr>
            <w:tcW w:w="456" w:type="dxa"/>
            <w:vMerge w:val="restart"/>
            <w:noWrap/>
            <w:vAlign w:val="center"/>
          </w:tcPr>
          <w:p>
            <w:pPr>
              <w:spacing w:line="540" w:lineRule="exact"/>
              <w:jc w:val="center"/>
              <w:rPr>
                <w:rFonts w:ascii="楷体_GB2312" w:eastAsia="楷体_GB2312"/>
                <w:sz w:val="28"/>
                <w:szCs w:val="28"/>
              </w:rPr>
            </w:pPr>
            <w:r>
              <w:rPr>
                <w:rFonts w:hint="eastAsia" w:ascii="楷体_GB2312" w:eastAsia="楷体_GB2312"/>
                <w:sz w:val="28"/>
                <w:szCs w:val="28"/>
              </w:rPr>
              <w:t>发</w:t>
            </w:r>
          </w:p>
          <w:p>
            <w:pPr>
              <w:spacing w:line="540" w:lineRule="exact"/>
              <w:jc w:val="center"/>
              <w:rPr>
                <w:rFonts w:ascii="楷体_GB2312" w:eastAsia="楷体_GB2312"/>
                <w:sz w:val="28"/>
                <w:szCs w:val="28"/>
              </w:rPr>
            </w:pPr>
          </w:p>
          <w:p>
            <w:pPr>
              <w:spacing w:line="540" w:lineRule="exact"/>
              <w:jc w:val="center"/>
              <w:rPr>
                <w:rFonts w:ascii="楷体_GB2312" w:eastAsia="楷体_GB2312"/>
                <w:sz w:val="28"/>
                <w:szCs w:val="28"/>
              </w:rPr>
            </w:pPr>
            <w:r>
              <w:rPr>
                <w:rFonts w:hint="eastAsia" w:ascii="楷体_GB2312" w:eastAsia="楷体_GB2312"/>
                <w:sz w:val="28"/>
                <w:szCs w:val="28"/>
              </w:rPr>
              <w:t>表</w:t>
            </w:r>
          </w:p>
        </w:tc>
        <w:tc>
          <w:tcPr>
            <w:tcW w:w="6288" w:type="dxa"/>
            <w:noWrap/>
            <w:vAlign w:val="center"/>
          </w:tcPr>
          <w:p>
            <w:pPr>
              <w:spacing w:line="540" w:lineRule="exact"/>
              <w:rPr>
                <w:rFonts w:ascii="楷体_GB2312" w:eastAsia="楷体_GB2312"/>
                <w:sz w:val="24"/>
                <w:szCs w:val="24"/>
              </w:rPr>
            </w:pPr>
            <w:r>
              <w:rPr>
                <w:rFonts w:hint="eastAsia" w:ascii="楷体_GB2312" w:eastAsia="楷体_GB2312"/>
                <w:sz w:val="24"/>
                <w:szCs w:val="24"/>
              </w:rPr>
              <w:t>国家级权威报刊发表</w:t>
            </w:r>
          </w:p>
        </w:tc>
        <w:tc>
          <w:tcPr>
            <w:tcW w:w="1092"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22</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456" w:type="dxa"/>
            <w:vMerge w:val="continue"/>
            <w:noWrap/>
            <w:vAlign w:val="center"/>
          </w:tcPr>
          <w:p/>
        </w:tc>
        <w:tc>
          <w:tcPr>
            <w:tcW w:w="6288" w:type="dxa"/>
            <w:noWrap/>
            <w:vAlign w:val="center"/>
          </w:tcPr>
          <w:p>
            <w:pPr>
              <w:spacing w:line="540" w:lineRule="exact"/>
              <w:rPr>
                <w:rFonts w:ascii="楷体_GB2312" w:eastAsia="楷体_GB2312"/>
                <w:sz w:val="24"/>
                <w:szCs w:val="24"/>
              </w:rPr>
            </w:pPr>
            <w:r>
              <w:rPr>
                <w:rFonts w:hint="eastAsia" w:ascii="楷体_GB2312" w:eastAsia="楷体_GB2312"/>
                <w:sz w:val="24"/>
                <w:szCs w:val="24"/>
              </w:rPr>
              <w:t>国家级核心报刊发表</w:t>
            </w:r>
          </w:p>
        </w:tc>
        <w:tc>
          <w:tcPr>
            <w:tcW w:w="1092"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19</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56" w:type="dxa"/>
            <w:vMerge w:val="continue"/>
            <w:noWrap/>
            <w:vAlign w:val="center"/>
          </w:tcPr>
          <w:p/>
        </w:tc>
        <w:tc>
          <w:tcPr>
            <w:tcW w:w="6288" w:type="dxa"/>
            <w:noWrap/>
            <w:vAlign w:val="center"/>
          </w:tcPr>
          <w:p>
            <w:pPr>
              <w:spacing w:line="540" w:lineRule="exact"/>
              <w:rPr>
                <w:rFonts w:ascii="楷体_GB2312" w:eastAsia="楷体_GB2312"/>
                <w:sz w:val="24"/>
                <w:szCs w:val="24"/>
              </w:rPr>
            </w:pPr>
            <w:r>
              <w:rPr>
                <w:rFonts w:hint="eastAsia" w:ascii="楷体_GB2312" w:eastAsia="楷体_GB2312"/>
                <w:sz w:val="24"/>
                <w:szCs w:val="24"/>
              </w:rPr>
              <w:t>省级报刊发表</w:t>
            </w:r>
          </w:p>
        </w:tc>
        <w:tc>
          <w:tcPr>
            <w:tcW w:w="1092"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15</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56" w:type="dxa"/>
            <w:vMerge w:val="restart"/>
            <w:noWrap/>
            <w:vAlign w:val="center"/>
          </w:tcPr>
          <w:p>
            <w:pPr>
              <w:spacing w:line="540" w:lineRule="exact"/>
              <w:jc w:val="center"/>
              <w:rPr>
                <w:rFonts w:ascii="楷体_GB2312" w:eastAsia="楷体_GB2312"/>
                <w:sz w:val="28"/>
                <w:szCs w:val="28"/>
              </w:rPr>
            </w:pPr>
            <w:r>
              <w:rPr>
                <w:rFonts w:hint="eastAsia" w:ascii="楷体_GB2312" w:eastAsia="楷体_GB2312"/>
                <w:sz w:val="28"/>
                <w:szCs w:val="28"/>
              </w:rPr>
              <w:t>转载</w:t>
            </w:r>
          </w:p>
        </w:tc>
        <w:tc>
          <w:tcPr>
            <w:tcW w:w="6288" w:type="dxa"/>
            <w:noWrap/>
            <w:vAlign w:val="center"/>
          </w:tcPr>
          <w:p>
            <w:pPr>
              <w:ind w:left="600" w:hanging="600" w:hangingChars="250"/>
              <w:rPr>
                <w:rFonts w:ascii="楷体_GB2312" w:eastAsia="楷体_GB2312"/>
                <w:sz w:val="24"/>
                <w:szCs w:val="24"/>
              </w:rPr>
            </w:pPr>
            <w:r>
              <w:rPr>
                <w:rFonts w:hint="eastAsia" w:ascii="楷体_GB2312" w:eastAsia="楷体_GB2312"/>
                <w:sz w:val="24"/>
                <w:szCs w:val="24"/>
              </w:rPr>
              <w:t>被《新华文摘》《中国社会科学文摘》全文转载。</w:t>
            </w:r>
          </w:p>
        </w:tc>
        <w:tc>
          <w:tcPr>
            <w:tcW w:w="1092"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18</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56" w:type="dxa"/>
            <w:vMerge w:val="continue"/>
            <w:noWrap/>
            <w:vAlign w:val="center"/>
          </w:tcPr>
          <w:p/>
        </w:tc>
        <w:tc>
          <w:tcPr>
            <w:tcW w:w="6288" w:type="dxa"/>
            <w:noWrap/>
            <w:vAlign w:val="center"/>
          </w:tcPr>
          <w:p>
            <w:pPr>
              <w:rPr>
                <w:rFonts w:ascii="楷体_GB2312" w:eastAsia="楷体_GB2312"/>
                <w:sz w:val="24"/>
                <w:szCs w:val="24"/>
              </w:rPr>
            </w:pPr>
            <w:r>
              <w:rPr>
                <w:rFonts w:hint="eastAsia" w:ascii="楷体_GB2312" w:eastAsia="楷体_GB2312"/>
                <w:sz w:val="24"/>
                <w:szCs w:val="24"/>
              </w:rPr>
              <w:t>被《高校文摘》、中国人民大学复印资料、人民网、光明网全文转载或被列为国家社科基金项目。</w:t>
            </w:r>
          </w:p>
        </w:tc>
        <w:tc>
          <w:tcPr>
            <w:tcW w:w="1092"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11</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 w:type="dxa"/>
            <w:vMerge w:val="continue"/>
            <w:noWrap/>
            <w:vAlign w:val="center"/>
          </w:tcPr>
          <w:p/>
        </w:tc>
        <w:tc>
          <w:tcPr>
            <w:tcW w:w="6288" w:type="dxa"/>
            <w:noWrap/>
            <w:vAlign w:val="center"/>
          </w:tcPr>
          <w:p>
            <w:pPr>
              <w:ind w:left="600" w:hanging="600" w:hangingChars="250"/>
              <w:rPr>
                <w:rFonts w:ascii="楷体_GB2312" w:eastAsia="楷体_GB2312"/>
                <w:sz w:val="24"/>
                <w:szCs w:val="24"/>
              </w:rPr>
            </w:pPr>
            <w:r>
              <w:rPr>
                <w:rFonts w:hint="eastAsia" w:ascii="楷体_GB2312" w:eastAsia="楷体_GB2312"/>
                <w:sz w:val="24"/>
                <w:szCs w:val="24"/>
              </w:rPr>
              <w:t>被《新华文摘》《中国社会科学文摘》摘要转载。</w:t>
            </w:r>
          </w:p>
        </w:tc>
        <w:tc>
          <w:tcPr>
            <w:tcW w:w="1092"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9</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 w:type="dxa"/>
            <w:vMerge w:val="continue"/>
            <w:noWrap/>
            <w:vAlign w:val="center"/>
          </w:tcPr>
          <w:p/>
        </w:tc>
        <w:tc>
          <w:tcPr>
            <w:tcW w:w="6288" w:type="dxa"/>
            <w:noWrap/>
            <w:vAlign w:val="center"/>
          </w:tcPr>
          <w:p>
            <w:pPr>
              <w:spacing w:line="540" w:lineRule="exact"/>
              <w:ind w:left="600" w:hanging="600" w:hangingChars="250"/>
              <w:rPr>
                <w:rFonts w:ascii="楷体_GB2312" w:eastAsia="楷体_GB2312"/>
                <w:sz w:val="24"/>
                <w:szCs w:val="24"/>
              </w:rPr>
            </w:pPr>
            <w:r>
              <w:rPr>
                <w:rFonts w:hint="eastAsia" w:ascii="楷体_GB2312" w:eastAsia="楷体_GB2312"/>
                <w:sz w:val="24"/>
                <w:szCs w:val="24"/>
              </w:rPr>
              <w:t>被《高校文摘》、中国人民大学复印资料人民网、光明网摘要转载。</w:t>
            </w:r>
          </w:p>
        </w:tc>
        <w:tc>
          <w:tcPr>
            <w:tcW w:w="1092"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7</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456" w:type="dxa"/>
            <w:noWrap/>
            <w:vAlign w:val="center"/>
          </w:tcPr>
          <w:p>
            <w:pPr>
              <w:spacing w:line="540" w:lineRule="exact"/>
              <w:jc w:val="center"/>
              <w:rPr>
                <w:rFonts w:ascii="楷体_GB2312" w:eastAsia="楷体_GB2312"/>
                <w:sz w:val="28"/>
                <w:szCs w:val="28"/>
              </w:rPr>
            </w:pPr>
            <w:r>
              <w:rPr>
                <w:rFonts w:hint="eastAsia" w:ascii="楷体_GB2312" w:eastAsia="楷体_GB2312"/>
                <w:sz w:val="28"/>
                <w:szCs w:val="28"/>
              </w:rPr>
              <w:t>引用</w:t>
            </w:r>
          </w:p>
        </w:tc>
        <w:tc>
          <w:tcPr>
            <w:tcW w:w="6288" w:type="dxa"/>
            <w:noWrap/>
            <w:vAlign w:val="center"/>
          </w:tcPr>
          <w:p>
            <w:pPr>
              <w:spacing w:line="540" w:lineRule="exact"/>
              <w:rPr>
                <w:rFonts w:ascii="楷体_GB2312" w:eastAsia="楷体_GB2312"/>
                <w:sz w:val="24"/>
                <w:szCs w:val="24"/>
              </w:rPr>
            </w:pPr>
            <w:r>
              <w:rPr>
                <w:rFonts w:hint="eastAsia" w:ascii="楷体_GB2312" w:eastAsia="楷体_GB2312"/>
                <w:sz w:val="24"/>
                <w:szCs w:val="24"/>
              </w:rPr>
              <w:t>每引用一次分值为0.5分，累计得分不得超过10分。</w:t>
            </w:r>
          </w:p>
        </w:tc>
        <w:tc>
          <w:tcPr>
            <w:tcW w:w="1092"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10</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44" w:type="dxa"/>
            <w:gridSpan w:val="2"/>
            <w:noWrap/>
            <w:vAlign w:val="center"/>
          </w:tcPr>
          <w:p>
            <w:pPr>
              <w:spacing w:line="540" w:lineRule="exact"/>
              <w:rPr>
                <w:rFonts w:ascii="楷体_GB2312" w:eastAsia="楷体_GB2312"/>
                <w:sz w:val="28"/>
                <w:szCs w:val="28"/>
              </w:rPr>
            </w:pPr>
            <w:r>
              <w:rPr>
                <w:rFonts w:hint="eastAsia" w:ascii="楷体_GB2312" w:eastAsia="楷体_GB2312"/>
                <w:sz w:val="28"/>
                <w:szCs w:val="28"/>
              </w:rPr>
              <w:t>综合得分</w:t>
            </w:r>
          </w:p>
        </w:tc>
        <w:tc>
          <w:tcPr>
            <w:tcW w:w="1992" w:type="dxa"/>
            <w:gridSpan w:val="2"/>
            <w:noWrap/>
            <w:vAlign w:val="center"/>
          </w:tcPr>
          <w:p>
            <w:pPr>
              <w:spacing w:line="540" w:lineRule="exact"/>
              <w:rPr>
                <w:rFonts w:ascii="楷体_GB2312" w:eastAsia="楷体_GB2312"/>
                <w:sz w:val="28"/>
                <w:szCs w:val="28"/>
              </w:rPr>
            </w:pPr>
          </w:p>
        </w:tc>
      </w:tr>
    </w:tbl>
    <w:p>
      <w:pPr>
        <w:spacing w:line="540" w:lineRule="exact"/>
        <w:rPr>
          <w:rFonts w:ascii="楷体_GB2312" w:eastAsia="楷体_GB2312"/>
          <w:sz w:val="28"/>
          <w:szCs w:val="28"/>
        </w:rPr>
      </w:pPr>
      <w:r>
        <w:rPr>
          <w:rFonts w:hint="eastAsia" w:ascii="楷体_GB2312" w:eastAsia="楷体_GB2312"/>
          <w:sz w:val="28"/>
          <w:szCs w:val="28"/>
        </w:rPr>
        <w:t>注：1、评分表中得分合计为每个项目的最高分值之和。即：</w:t>
      </w:r>
    </w:p>
    <w:p>
      <w:pPr>
        <w:spacing w:line="540" w:lineRule="exact"/>
        <w:ind w:firstLine="840" w:firstLineChars="300"/>
        <w:rPr>
          <w:rFonts w:ascii="楷体_GB2312" w:eastAsia="楷体_GB2312"/>
          <w:sz w:val="28"/>
          <w:szCs w:val="28"/>
        </w:rPr>
      </w:pPr>
      <w:r>
        <w:rPr>
          <w:rFonts w:hint="eastAsia" w:ascii="楷体_GB2312" w:eastAsia="楷体_GB2312"/>
          <w:sz w:val="28"/>
          <w:szCs w:val="28"/>
        </w:rPr>
        <w:t xml:space="preserve">16+10+10+14+22+18+10=100                                 </w:t>
      </w:r>
    </w:p>
    <w:p>
      <w:pPr>
        <w:spacing w:line="540" w:lineRule="exact"/>
        <w:ind w:firstLine="570"/>
        <w:rPr>
          <w:rFonts w:ascii="楷体_GB2312" w:eastAsia="楷体_GB2312"/>
          <w:sz w:val="28"/>
          <w:szCs w:val="28"/>
        </w:rPr>
      </w:pPr>
      <w:r>
        <w:rPr>
          <w:rFonts w:hint="eastAsia" w:ascii="楷体_GB2312" w:eastAsia="楷体_GB2312"/>
          <w:sz w:val="28"/>
          <w:szCs w:val="28"/>
        </w:rPr>
        <w:t>2、系列论文出现多级报刊发表的按最高项分值计算，不得累计。</w:t>
      </w:r>
    </w:p>
    <w:p>
      <w:pPr>
        <w:spacing w:line="540" w:lineRule="exact"/>
        <w:ind w:firstLine="570"/>
        <w:rPr>
          <w:rFonts w:ascii="楷体_GB2312" w:eastAsia="楷体_GB2312"/>
          <w:sz w:val="28"/>
          <w:szCs w:val="28"/>
        </w:rPr>
      </w:pPr>
      <w:r>
        <w:rPr>
          <w:rFonts w:hint="eastAsia" w:ascii="楷体_GB2312" w:eastAsia="楷体_GB2312"/>
          <w:sz w:val="28"/>
          <w:szCs w:val="28"/>
        </w:rPr>
        <w:t>3、报刊分级目录请参考甘人职[2014]33号文。</w:t>
      </w:r>
    </w:p>
    <w:p>
      <w:pPr>
        <w:spacing w:line="540" w:lineRule="exact"/>
        <w:ind w:firstLine="570"/>
        <w:rPr>
          <w:rFonts w:ascii="楷体_GB2312" w:eastAsia="楷体_GB2312"/>
          <w:sz w:val="28"/>
          <w:szCs w:val="28"/>
        </w:rPr>
      </w:pPr>
    </w:p>
    <w:p>
      <w:pPr>
        <w:rPr>
          <w:rFonts w:ascii="楷体_GB2312" w:eastAsia="楷体_GB2312"/>
          <w:sz w:val="28"/>
          <w:szCs w:val="28"/>
        </w:rPr>
      </w:pPr>
      <w:r>
        <w:rPr>
          <w:rFonts w:hint="eastAsia" w:ascii="楷体_GB2312" w:eastAsia="楷体_GB2312"/>
          <w:sz w:val="28"/>
          <w:szCs w:val="28"/>
        </w:rPr>
        <w:t>签名：</w:t>
      </w:r>
    </w:p>
    <w:p>
      <w:pPr>
        <w:rPr>
          <w:sz w:val="28"/>
          <w:szCs w:val="28"/>
        </w:rPr>
      </w:pPr>
    </w:p>
    <w:p>
      <w:pPr>
        <w:rPr>
          <w:sz w:val="28"/>
          <w:szCs w:val="28"/>
        </w:rPr>
      </w:pPr>
      <w:r>
        <w:rPr>
          <w:rFonts w:hint="eastAsia"/>
          <w:sz w:val="28"/>
          <w:szCs w:val="28"/>
        </w:rPr>
        <w:t xml:space="preserve">                                       年    月    日</w:t>
      </w:r>
    </w:p>
    <w:p>
      <w:pPr>
        <w:ind w:right="19"/>
        <w:jc w:val="center"/>
        <w:rPr>
          <w:rFonts w:ascii="方正小标宋_GBK" w:hAnsi="方正小标宋_GBK" w:eastAsia="方正小标宋_GBK" w:cs="方正小标宋_GBK"/>
          <w:bCs/>
          <w:sz w:val="36"/>
          <w:szCs w:val="36"/>
        </w:rPr>
      </w:pPr>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甘肃省哲学社会科学优秀成果评审评分参考表</w:t>
      </w:r>
    </w:p>
    <w:p>
      <w:pPr>
        <w:ind w:right="-340"/>
        <w:jc w:val="center"/>
        <w:rPr>
          <w:rFonts w:ascii="楷体_GB2312" w:eastAsia="楷体_GB2312" w:cs="楷体_GB2312"/>
          <w:sz w:val="32"/>
          <w:szCs w:val="32"/>
        </w:rPr>
      </w:pPr>
      <w:r>
        <w:rPr>
          <w:rFonts w:hint="eastAsia" w:ascii="楷体_GB2312" w:eastAsia="楷体_GB2312" w:cs="楷体_GB2312"/>
          <w:sz w:val="32"/>
          <w:szCs w:val="32"/>
        </w:rPr>
        <w:t>（研究报告类研究成果）</w:t>
      </w:r>
    </w:p>
    <w:p>
      <w:pPr>
        <w:ind w:right="-160"/>
        <w:rPr>
          <w:rFonts w:ascii="楷体_GB2312" w:eastAsia="楷体_GB2312"/>
          <w:sz w:val="28"/>
          <w:szCs w:val="28"/>
        </w:rPr>
      </w:pPr>
      <w:r>
        <w:rPr>
          <w:rFonts w:hint="eastAsia" w:ascii="楷体_GB2312" w:eastAsia="楷体_GB2312"/>
          <w:sz w:val="28"/>
          <w:szCs w:val="28"/>
        </w:rPr>
        <w:t xml:space="preserve">成果名称：                                              </w:t>
      </w:r>
      <w:r>
        <w:rPr>
          <w:rFonts w:hint="eastAsia" w:eastAsia="楷体_GB2312"/>
          <w:sz w:val="28"/>
          <w:szCs w:val="28"/>
        </w:rPr>
        <w:t xml:space="preserve">表1 </w:t>
      </w:r>
    </w:p>
    <w:tbl>
      <w:tblPr>
        <w:tblStyle w:val="2"/>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6288"/>
        <w:gridCol w:w="1116"/>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739" w:type="dxa"/>
            <w:gridSpan w:val="2"/>
            <w:tcBorders>
              <w:top w:val="single" w:color="auto" w:sz="4" w:space="0"/>
              <w:left w:val="single" w:color="auto" w:sz="4" w:space="0"/>
              <w:bottom w:val="single" w:color="auto" w:sz="4" w:space="0"/>
              <w:right w:val="single" w:color="auto" w:sz="4" w:space="0"/>
            </w:tcBorders>
            <w:noWrap/>
            <w:vAlign w:val="center"/>
          </w:tcPr>
          <w:p>
            <w:pPr>
              <w:spacing w:line="540" w:lineRule="exact"/>
              <w:ind w:firstLine="240"/>
              <w:jc w:val="center"/>
              <w:rPr>
                <w:rFonts w:eastAsia="楷体_GB2312"/>
                <w:sz w:val="28"/>
                <w:szCs w:val="28"/>
              </w:rPr>
            </w:pPr>
            <w:r>
              <w:rPr>
                <w:rFonts w:hint="eastAsia" w:eastAsia="楷体_GB2312"/>
                <w:sz w:val="28"/>
                <w:szCs w:val="28"/>
              </w:rPr>
              <w:t>指</w:t>
            </w:r>
            <w:r>
              <w:rPr>
                <w:rFonts w:eastAsia="楷体_GB2312"/>
                <w:sz w:val="28"/>
                <w:szCs w:val="28"/>
              </w:rPr>
              <w:t xml:space="preserve">    </w:t>
            </w:r>
            <w:r>
              <w:rPr>
                <w:rFonts w:hint="eastAsia" w:eastAsia="楷体_GB2312"/>
                <w:sz w:val="28"/>
                <w:szCs w:val="28"/>
              </w:rPr>
              <w:t>标</w:t>
            </w:r>
            <w:r>
              <w:rPr>
                <w:rFonts w:eastAsia="楷体_GB2312"/>
                <w:sz w:val="28"/>
                <w:szCs w:val="28"/>
              </w:rPr>
              <w:t xml:space="preserve">    </w:t>
            </w:r>
            <w:r>
              <w:rPr>
                <w:rFonts w:hint="eastAsia" w:eastAsia="楷体_GB2312"/>
                <w:sz w:val="28"/>
                <w:szCs w:val="28"/>
              </w:rPr>
              <w:t>内</w:t>
            </w:r>
            <w:r>
              <w:rPr>
                <w:rFonts w:eastAsia="楷体_GB2312"/>
                <w:sz w:val="28"/>
                <w:szCs w:val="28"/>
              </w:rPr>
              <w:t xml:space="preserve">    </w:t>
            </w:r>
            <w:r>
              <w:rPr>
                <w:rFonts w:hint="eastAsia" w:eastAsia="楷体_GB2312"/>
                <w:sz w:val="28"/>
                <w:szCs w:val="28"/>
              </w:rPr>
              <w:t>容</w:t>
            </w:r>
          </w:p>
        </w:tc>
        <w:tc>
          <w:tcPr>
            <w:tcW w:w="111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分值</w:t>
            </w:r>
          </w:p>
        </w:tc>
        <w:tc>
          <w:tcPr>
            <w:tcW w:w="888"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451" w:type="dxa"/>
            <w:vMerge w:val="restart"/>
            <w:tcBorders>
              <w:top w:val="single" w:color="auto" w:sz="4" w:space="0"/>
              <w:left w:val="single" w:color="auto" w:sz="4" w:space="0"/>
              <w:right w:val="single" w:color="auto" w:sz="4" w:space="0"/>
            </w:tcBorders>
            <w:noWrap/>
            <w:vAlign w:val="center"/>
          </w:tcPr>
          <w:p>
            <w:pPr>
              <w:spacing w:line="540" w:lineRule="exact"/>
              <w:jc w:val="center"/>
              <w:rPr>
                <w:rFonts w:eastAsia="楷体_GB2312"/>
                <w:sz w:val="28"/>
                <w:szCs w:val="28"/>
              </w:rPr>
            </w:pPr>
          </w:p>
          <w:p>
            <w:pPr>
              <w:spacing w:line="540" w:lineRule="exact"/>
              <w:jc w:val="center"/>
              <w:rPr>
                <w:rFonts w:eastAsia="楷体_GB2312"/>
                <w:sz w:val="28"/>
                <w:szCs w:val="28"/>
              </w:rPr>
            </w:pPr>
            <w:r>
              <w:rPr>
                <w:rFonts w:hint="eastAsia" w:eastAsia="楷体_GB2312"/>
                <w:sz w:val="28"/>
                <w:szCs w:val="28"/>
              </w:rPr>
              <w:t>成果价值</w:t>
            </w:r>
          </w:p>
        </w:tc>
        <w:tc>
          <w:tcPr>
            <w:tcW w:w="6288" w:type="dxa"/>
            <w:tcBorders>
              <w:top w:val="single" w:color="auto" w:sz="4" w:space="0"/>
              <w:left w:val="single" w:color="auto" w:sz="4" w:space="0"/>
              <w:bottom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发现了经济社会发展中的重大问题；或对解决经济社会发展中的重大问题提出了符合实际的新思路和对策，具有很大的应用价值和理论价值。</w:t>
            </w:r>
          </w:p>
        </w:tc>
        <w:tc>
          <w:tcPr>
            <w:tcW w:w="111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12-16</w:t>
            </w:r>
          </w:p>
        </w:tc>
        <w:tc>
          <w:tcPr>
            <w:tcW w:w="888"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451" w:type="dxa"/>
            <w:vMerge w:val="continue"/>
            <w:tcBorders>
              <w:left w:val="single" w:color="auto" w:sz="4" w:space="0"/>
              <w:right w:val="single" w:color="auto" w:sz="4" w:space="0"/>
            </w:tcBorders>
            <w:noWrap/>
            <w:vAlign w:val="center"/>
          </w:tcPr>
          <w:p/>
        </w:tc>
        <w:tc>
          <w:tcPr>
            <w:tcW w:w="6288" w:type="dxa"/>
            <w:tcBorders>
              <w:top w:val="single" w:color="auto" w:sz="4" w:space="0"/>
              <w:left w:val="single" w:color="auto" w:sz="4" w:space="0"/>
              <w:bottom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发现了经济社会发展中重要的问题；或对解决经济社会发展中重要的问题提出了较好的思路和对策，具有较大的应用价值和理论价值；或对某重要领域的事实作了系统的描述和分析，为深入研究提供了重要依据。</w:t>
            </w:r>
          </w:p>
        </w:tc>
        <w:tc>
          <w:tcPr>
            <w:tcW w:w="111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6-11</w:t>
            </w:r>
          </w:p>
        </w:tc>
        <w:tc>
          <w:tcPr>
            <w:tcW w:w="888"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51" w:type="dxa"/>
            <w:vMerge w:val="continue"/>
            <w:tcBorders>
              <w:left w:val="single" w:color="auto" w:sz="4" w:space="0"/>
              <w:bottom w:val="single" w:color="auto" w:sz="4" w:space="0"/>
              <w:right w:val="single" w:color="auto" w:sz="4" w:space="0"/>
            </w:tcBorders>
            <w:noWrap/>
            <w:vAlign w:val="center"/>
          </w:tcPr>
          <w:p/>
        </w:tc>
        <w:tc>
          <w:tcPr>
            <w:tcW w:w="6288" w:type="dxa"/>
            <w:tcBorders>
              <w:top w:val="single" w:color="auto" w:sz="4" w:space="0"/>
              <w:left w:val="single" w:color="auto" w:sz="4" w:space="0"/>
              <w:bottom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对解决经济社会发展中比较重要的问题提出了较好的思路和对策，具有一定的应用价值和理论价值；或对某个重要领域的事实作了较系统的描述和分析，对深入研究有一定参考价值。</w:t>
            </w:r>
          </w:p>
        </w:tc>
        <w:tc>
          <w:tcPr>
            <w:tcW w:w="111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2-5</w:t>
            </w:r>
          </w:p>
        </w:tc>
        <w:tc>
          <w:tcPr>
            <w:tcW w:w="888" w:type="dxa"/>
            <w:tcBorders>
              <w:top w:val="single" w:color="auto" w:sz="4" w:space="0"/>
              <w:left w:val="single" w:color="auto" w:sz="4" w:space="0"/>
              <w:bottom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1" w:type="dxa"/>
            <w:vMerge w:val="restart"/>
            <w:tcBorders>
              <w:top w:val="single" w:color="auto" w:sz="4" w:space="0"/>
              <w:left w:val="single" w:color="auto" w:sz="4" w:space="0"/>
              <w:righ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成熟程度</w:t>
            </w:r>
          </w:p>
        </w:tc>
        <w:tc>
          <w:tcPr>
            <w:tcW w:w="6288"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资料和数据准确系统，论证科学；具有很强的适用性或操作性。</w:t>
            </w:r>
          </w:p>
        </w:tc>
        <w:tc>
          <w:tcPr>
            <w:tcW w:w="1116"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8-10</w:t>
            </w:r>
          </w:p>
        </w:tc>
        <w:tc>
          <w:tcPr>
            <w:tcW w:w="888"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51" w:type="dxa"/>
            <w:vMerge w:val="continue"/>
            <w:tcBorders>
              <w:left w:val="single" w:color="auto" w:sz="4" w:space="0"/>
              <w:right w:val="single" w:color="auto" w:sz="4" w:space="0"/>
            </w:tcBorders>
            <w:noWrap/>
            <w:vAlign w:val="center"/>
          </w:tcPr>
          <w:p/>
        </w:tc>
        <w:tc>
          <w:tcPr>
            <w:tcW w:w="6288"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资料和数据比较准确翔实，逻辑严密；具有较好的适用性或操作性。</w:t>
            </w:r>
          </w:p>
        </w:tc>
        <w:tc>
          <w:tcPr>
            <w:tcW w:w="1116"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5-7</w:t>
            </w:r>
          </w:p>
        </w:tc>
        <w:tc>
          <w:tcPr>
            <w:tcW w:w="888"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451" w:type="dxa"/>
            <w:vMerge w:val="continue"/>
            <w:tcBorders>
              <w:left w:val="single" w:color="auto" w:sz="4" w:space="0"/>
              <w:right w:val="single" w:color="auto" w:sz="4" w:space="0"/>
            </w:tcBorders>
            <w:noWrap/>
            <w:vAlign w:val="center"/>
          </w:tcPr>
          <w:p/>
        </w:tc>
        <w:tc>
          <w:tcPr>
            <w:tcW w:w="6288"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主要资料和数据扎实，论证清楚；具有一定程度的实用性或操作性。</w:t>
            </w:r>
          </w:p>
        </w:tc>
        <w:tc>
          <w:tcPr>
            <w:tcW w:w="1116"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2-4</w:t>
            </w:r>
          </w:p>
        </w:tc>
        <w:tc>
          <w:tcPr>
            <w:tcW w:w="888" w:type="dxa"/>
            <w:tcBorders>
              <w:top w:val="single" w:color="auto" w:sz="4" w:space="0"/>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51" w:type="dxa"/>
            <w:vMerge w:val="restart"/>
            <w:tcBorders>
              <w:left w:val="single" w:color="auto" w:sz="4" w:space="0"/>
              <w:righ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难易程度</w:t>
            </w:r>
          </w:p>
        </w:tc>
        <w:tc>
          <w:tcPr>
            <w:tcW w:w="6288"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问题十分复杂，研究难度极大；资料的搜集与数据处理难度很大。</w:t>
            </w:r>
          </w:p>
        </w:tc>
        <w:tc>
          <w:tcPr>
            <w:tcW w:w="1116"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8-10</w:t>
            </w:r>
          </w:p>
          <w:p>
            <w:pPr>
              <w:spacing w:line="240" w:lineRule="exact"/>
              <w:jc w:val="center"/>
              <w:rPr>
                <w:rFonts w:eastAsia="楷体_GB2312"/>
                <w:b/>
                <w:sz w:val="28"/>
                <w:szCs w:val="28"/>
              </w:rPr>
            </w:pPr>
          </w:p>
        </w:tc>
        <w:tc>
          <w:tcPr>
            <w:tcW w:w="888" w:type="dxa"/>
            <w:tcBorders>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451" w:type="dxa"/>
            <w:vMerge w:val="continue"/>
            <w:tcBorders>
              <w:left w:val="single" w:color="auto" w:sz="4" w:space="0"/>
              <w:right w:val="single" w:color="auto" w:sz="4" w:space="0"/>
            </w:tcBorders>
            <w:noWrap/>
            <w:vAlign w:val="center"/>
          </w:tcPr>
          <w:p/>
        </w:tc>
        <w:tc>
          <w:tcPr>
            <w:tcW w:w="6288" w:type="dxa"/>
            <w:tcBorders>
              <w:top w:val="single" w:color="auto" w:sz="4" w:space="0"/>
              <w:left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问题复杂，研究有难度；资料的搜集与处理有难度。</w:t>
            </w:r>
          </w:p>
        </w:tc>
        <w:tc>
          <w:tcPr>
            <w:tcW w:w="1116" w:type="dxa"/>
            <w:tcBorders>
              <w:top w:val="single" w:color="auto" w:sz="4" w:space="0"/>
              <w:left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5-7</w:t>
            </w:r>
          </w:p>
        </w:tc>
        <w:tc>
          <w:tcPr>
            <w:tcW w:w="888" w:type="dxa"/>
            <w:tcBorders>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51" w:type="dxa"/>
            <w:vMerge w:val="continue"/>
            <w:tcBorders>
              <w:left w:val="single" w:color="auto" w:sz="4" w:space="0"/>
              <w:right w:val="single" w:color="auto" w:sz="4" w:space="0"/>
            </w:tcBorders>
            <w:noWrap/>
            <w:vAlign w:val="center"/>
          </w:tcPr>
          <w:p/>
        </w:tc>
        <w:tc>
          <w:tcPr>
            <w:tcW w:w="6288" w:type="dxa"/>
            <w:tcBorders>
              <w:top w:val="single" w:color="auto" w:sz="4" w:space="0"/>
              <w:left w:val="single" w:color="auto" w:sz="4" w:space="0"/>
              <w:bottom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问题比较复杂，研究有一定难度；资料的搜集与处理有一定难度。</w:t>
            </w:r>
          </w:p>
        </w:tc>
        <w:tc>
          <w:tcPr>
            <w:tcW w:w="111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2-4</w:t>
            </w:r>
          </w:p>
        </w:tc>
        <w:tc>
          <w:tcPr>
            <w:tcW w:w="888" w:type="dxa"/>
            <w:tcBorders>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1" w:type="dxa"/>
            <w:vMerge w:val="restart"/>
            <w:tcBorders>
              <w:left w:val="single" w:color="auto" w:sz="4" w:space="0"/>
              <w:right w:val="single" w:color="auto" w:sz="4" w:space="0"/>
            </w:tcBorders>
            <w:noWrap/>
            <w:vAlign w:val="center"/>
          </w:tcPr>
          <w:p>
            <w:pPr>
              <w:spacing w:line="540" w:lineRule="exact"/>
              <w:jc w:val="center"/>
              <w:rPr>
                <w:rFonts w:eastAsia="楷体_GB2312"/>
                <w:sz w:val="28"/>
                <w:szCs w:val="28"/>
              </w:rPr>
            </w:pPr>
            <w:r>
              <w:rPr>
                <w:rFonts w:hint="eastAsia" w:eastAsia="楷体_GB2312"/>
                <w:sz w:val="28"/>
                <w:szCs w:val="28"/>
              </w:rPr>
              <w:t>成果转化</w:t>
            </w:r>
          </w:p>
        </w:tc>
        <w:tc>
          <w:tcPr>
            <w:tcW w:w="6288" w:type="dxa"/>
            <w:tcBorders>
              <w:top w:val="single" w:color="auto" w:sz="4" w:space="0"/>
              <w:left w:val="single" w:color="auto" w:sz="4" w:space="0"/>
              <w:bottom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某些对策建议被国家有关部门或省委、省政府有关文件、政策规定吸收采纳。</w:t>
            </w:r>
          </w:p>
        </w:tc>
        <w:tc>
          <w:tcPr>
            <w:tcW w:w="111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10-14</w:t>
            </w:r>
          </w:p>
        </w:tc>
        <w:tc>
          <w:tcPr>
            <w:tcW w:w="888" w:type="dxa"/>
            <w:tcBorders>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51" w:type="dxa"/>
            <w:vMerge w:val="continue"/>
            <w:tcBorders>
              <w:left w:val="single" w:color="auto" w:sz="4" w:space="0"/>
              <w:right w:val="single" w:color="auto" w:sz="4" w:space="0"/>
            </w:tcBorders>
            <w:noWrap/>
          </w:tcPr>
          <w:p/>
        </w:tc>
        <w:tc>
          <w:tcPr>
            <w:tcW w:w="6288" w:type="dxa"/>
            <w:tcBorders>
              <w:top w:val="single" w:color="auto" w:sz="4" w:space="0"/>
              <w:left w:val="single" w:color="auto" w:sz="4" w:space="0"/>
              <w:bottom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某些对策建议被省直有关部门或市州有关文件、政策规定吸收采纳。</w:t>
            </w:r>
          </w:p>
        </w:tc>
        <w:tc>
          <w:tcPr>
            <w:tcW w:w="111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6-9</w:t>
            </w:r>
          </w:p>
        </w:tc>
        <w:tc>
          <w:tcPr>
            <w:tcW w:w="888" w:type="dxa"/>
            <w:tcBorders>
              <w:left w:val="single" w:color="auto" w:sz="4" w:space="0"/>
              <w:right w:val="single" w:color="auto" w:sz="4" w:space="0"/>
            </w:tcBorders>
            <w:noWrap/>
          </w:tcPr>
          <w:p>
            <w:pPr>
              <w:spacing w:line="54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51" w:type="dxa"/>
            <w:vMerge w:val="continue"/>
            <w:tcBorders>
              <w:left w:val="single" w:color="auto" w:sz="4" w:space="0"/>
              <w:bottom w:val="single" w:color="auto" w:sz="4" w:space="0"/>
              <w:right w:val="single" w:color="auto" w:sz="4" w:space="0"/>
            </w:tcBorders>
            <w:noWrap/>
          </w:tcPr>
          <w:p/>
        </w:tc>
        <w:tc>
          <w:tcPr>
            <w:tcW w:w="6288" w:type="dxa"/>
            <w:tcBorders>
              <w:top w:val="single" w:color="auto" w:sz="4" w:space="0"/>
              <w:left w:val="single" w:color="auto" w:sz="4" w:space="0"/>
              <w:bottom w:val="single" w:color="auto" w:sz="4" w:space="0"/>
              <w:right w:val="single" w:color="auto" w:sz="4" w:space="0"/>
            </w:tcBorders>
            <w:noWrap/>
            <w:vAlign w:val="center"/>
          </w:tcPr>
          <w:p>
            <w:pPr>
              <w:rPr>
                <w:rFonts w:eastAsia="楷体_GB2312"/>
                <w:sz w:val="24"/>
                <w:szCs w:val="24"/>
              </w:rPr>
            </w:pPr>
            <w:r>
              <w:rPr>
                <w:rFonts w:hint="eastAsia" w:eastAsia="楷体_GB2312"/>
                <w:sz w:val="24"/>
                <w:szCs w:val="24"/>
              </w:rPr>
              <w:t>某些对策建议被县区或行业有关文件、政策规定吸收采纳。</w:t>
            </w:r>
          </w:p>
        </w:tc>
        <w:tc>
          <w:tcPr>
            <w:tcW w:w="111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eastAsia="楷体_GB2312"/>
                <w:b/>
                <w:sz w:val="28"/>
                <w:szCs w:val="28"/>
              </w:rPr>
            </w:pPr>
            <w:r>
              <w:rPr>
                <w:rFonts w:hint="eastAsia" w:eastAsia="楷体_GB2312"/>
                <w:b/>
                <w:sz w:val="28"/>
                <w:szCs w:val="28"/>
              </w:rPr>
              <w:t>2-5</w:t>
            </w:r>
          </w:p>
        </w:tc>
        <w:tc>
          <w:tcPr>
            <w:tcW w:w="888" w:type="dxa"/>
            <w:tcBorders>
              <w:left w:val="single" w:color="auto" w:sz="4" w:space="0"/>
              <w:bottom w:val="single" w:color="auto" w:sz="4" w:space="0"/>
              <w:right w:val="single" w:color="auto" w:sz="4" w:space="0"/>
            </w:tcBorders>
            <w:noWrap/>
          </w:tcPr>
          <w:p>
            <w:pPr>
              <w:spacing w:line="540" w:lineRule="exact"/>
              <w:rPr>
                <w:rFonts w:eastAsia="楷体_GB2312"/>
                <w:sz w:val="28"/>
                <w:szCs w:val="28"/>
              </w:rPr>
            </w:pPr>
          </w:p>
        </w:tc>
      </w:tr>
    </w:tbl>
    <w:p>
      <w:pPr>
        <w:ind w:right="19"/>
        <w:rPr>
          <w:rFonts w:ascii="方正小标宋简体" w:eastAsia="方正小标宋简体" w:cs="方正小标宋简体"/>
          <w:bCs/>
          <w:sz w:val="36"/>
          <w:szCs w:val="36"/>
        </w:rPr>
      </w:pPr>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甘肃省哲学社会科学优秀成果评审评分参考表</w:t>
      </w:r>
    </w:p>
    <w:p>
      <w:pPr>
        <w:spacing w:line="440" w:lineRule="exact"/>
        <w:ind w:right="-181"/>
        <w:jc w:val="center"/>
        <w:rPr>
          <w:rFonts w:ascii="华文中宋" w:eastAsia="华文中宋"/>
        </w:rPr>
      </w:pPr>
      <w:r>
        <w:rPr>
          <w:rFonts w:hint="eastAsia" w:ascii="楷体_GB2312" w:eastAsia="楷体_GB2312" w:cs="楷体_GB2312"/>
          <w:sz w:val="32"/>
          <w:szCs w:val="32"/>
        </w:rPr>
        <w:t>（研究报告类研究成果）</w:t>
      </w:r>
    </w:p>
    <w:tbl>
      <w:tblPr>
        <w:tblStyle w:val="2"/>
        <w:tblpPr w:leftFromText="180" w:rightFromText="180" w:vertAnchor="text" w:horzAnchor="margin" w:tblpY="626"/>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117"/>
        <w:gridCol w:w="108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40" w:type="dxa"/>
            <w:vMerge w:val="restart"/>
            <w:noWrap/>
            <w:vAlign w:val="center"/>
          </w:tcPr>
          <w:p>
            <w:pPr>
              <w:spacing w:line="540" w:lineRule="exact"/>
              <w:jc w:val="center"/>
              <w:rPr>
                <w:rFonts w:ascii="楷体_GB2312" w:eastAsia="楷体_GB2312"/>
                <w:sz w:val="28"/>
                <w:szCs w:val="28"/>
              </w:rPr>
            </w:pPr>
            <w:r>
              <w:rPr>
                <w:rFonts w:hint="eastAsia" w:ascii="楷体_GB2312" w:eastAsia="楷体_GB2312"/>
                <w:sz w:val="28"/>
                <w:szCs w:val="28"/>
              </w:rPr>
              <w:t>规划结项</w:t>
            </w:r>
          </w:p>
        </w:tc>
        <w:tc>
          <w:tcPr>
            <w:tcW w:w="6117" w:type="dxa"/>
            <w:noWrap/>
            <w:vAlign w:val="center"/>
          </w:tcPr>
          <w:p>
            <w:pPr>
              <w:spacing w:line="540" w:lineRule="exact"/>
              <w:ind w:left="600" w:hanging="600" w:hangingChars="250"/>
              <w:rPr>
                <w:rFonts w:ascii="楷体_GB2312" w:eastAsia="楷体_GB2312"/>
                <w:sz w:val="24"/>
                <w:szCs w:val="24"/>
              </w:rPr>
            </w:pPr>
            <w:r>
              <w:rPr>
                <w:rFonts w:hint="eastAsia" w:ascii="楷体_GB2312" w:eastAsia="楷体_GB2312"/>
                <w:sz w:val="24"/>
                <w:szCs w:val="24"/>
              </w:rPr>
              <w:t>列入全国社科基金项目并结项</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22</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40" w:type="dxa"/>
            <w:vMerge w:val="continue"/>
            <w:noWrap/>
            <w:vAlign w:val="center"/>
          </w:tcPr>
          <w:p/>
        </w:tc>
        <w:tc>
          <w:tcPr>
            <w:tcW w:w="6117" w:type="dxa"/>
            <w:noWrap/>
            <w:vAlign w:val="center"/>
          </w:tcPr>
          <w:p>
            <w:pPr>
              <w:spacing w:line="400" w:lineRule="exact"/>
              <w:rPr>
                <w:rFonts w:ascii="楷体_GB2312" w:eastAsia="楷体_GB2312"/>
                <w:sz w:val="24"/>
                <w:szCs w:val="24"/>
              </w:rPr>
            </w:pPr>
            <w:r>
              <w:rPr>
                <w:rFonts w:hint="eastAsia" w:ascii="楷体_GB2312" w:eastAsia="楷体_GB2312"/>
                <w:sz w:val="24"/>
                <w:szCs w:val="24"/>
              </w:rPr>
              <w:t>列入中央有关部委、中央党校、中国社会科学院课题规划项目并结项；列入省社科规划项目并结项。</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18</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40" w:type="dxa"/>
            <w:vMerge w:val="continue"/>
            <w:noWrap/>
            <w:vAlign w:val="center"/>
          </w:tcPr>
          <w:p/>
        </w:tc>
        <w:tc>
          <w:tcPr>
            <w:tcW w:w="6117" w:type="dxa"/>
            <w:noWrap/>
            <w:vAlign w:val="center"/>
          </w:tcPr>
          <w:p>
            <w:pPr>
              <w:spacing w:line="400" w:lineRule="exact"/>
              <w:rPr>
                <w:rFonts w:ascii="楷体_GB2312" w:eastAsia="楷体_GB2312"/>
                <w:sz w:val="24"/>
                <w:szCs w:val="24"/>
              </w:rPr>
            </w:pPr>
            <w:r>
              <w:rPr>
                <w:rFonts w:hint="eastAsia" w:ascii="楷体_GB2312" w:eastAsia="楷体_GB2312"/>
                <w:sz w:val="24"/>
                <w:szCs w:val="24"/>
              </w:rPr>
              <w:t>列入省社科联规划项目及省直有关部委、厅（局）课题并结项。</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16</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40" w:type="dxa"/>
            <w:vMerge w:val="continue"/>
            <w:noWrap/>
            <w:vAlign w:val="center"/>
          </w:tcPr>
          <w:p/>
        </w:tc>
        <w:tc>
          <w:tcPr>
            <w:tcW w:w="6117" w:type="dxa"/>
            <w:noWrap/>
            <w:vAlign w:val="center"/>
          </w:tcPr>
          <w:p>
            <w:pPr>
              <w:spacing w:line="540" w:lineRule="exact"/>
              <w:ind w:left="600" w:hanging="600" w:hangingChars="250"/>
              <w:rPr>
                <w:rFonts w:ascii="楷体_GB2312" w:eastAsia="楷体_GB2312"/>
                <w:sz w:val="24"/>
                <w:szCs w:val="24"/>
              </w:rPr>
            </w:pPr>
            <w:r>
              <w:rPr>
                <w:rFonts w:hint="eastAsia" w:ascii="楷体_GB2312" w:eastAsia="楷体_GB2312"/>
                <w:sz w:val="24"/>
                <w:szCs w:val="24"/>
              </w:rPr>
              <w:t>其他研究项目系列</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11</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40" w:type="dxa"/>
            <w:vMerge w:val="restart"/>
            <w:noWrap/>
            <w:vAlign w:val="center"/>
          </w:tcPr>
          <w:p>
            <w:pPr>
              <w:spacing w:line="460" w:lineRule="exact"/>
              <w:jc w:val="center"/>
              <w:rPr>
                <w:rFonts w:ascii="楷体_GB2312" w:eastAsia="楷体_GB2312"/>
                <w:sz w:val="28"/>
                <w:szCs w:val="28"/>
              </w:rPr>
            </w:pPr>
            <w:r>
              <w:rPr>
                <w:rFonts w:hint="eastAsia" w:ascii="楷体_GB2312" w:eastAsia="楷体_GB2312"/>
                <w:sz w:val="28"/>
                <w:szCs w:val="28"/>
              </w:rPr>
              <w:t>成果影响度</w:t>
            </w:r>
          </w:p>
        </w:tc>
        <w:tc>
          <w:tcPr>
            <w:tcW w:w="6117" w:type="dxa"/>
            <w:noWrap/>
            <w:vAlign w:val="center"/>
          </w:tcPr>
          <w:p>
            <w:pPr>
              <w:spacing w:line="440" w:lineRule="exact"/>
              <w:rPr>
                <w:rFonts w:ascii="楷体_GB2312" w:eastAsia="楷体_GB2312"/>
                <w:sz w:val="24"/>
                <w:szCs w:val="24"/>
              </w:rPr>
            </w:pPr>
            <w:r>
              <w:rPr>
                <w:rFonts w:hint="eastAsia" w:ascii="楷体_GB2312" w:eastAsia="楷体_GB2312"/>
                <w:sz w:val="24"/>
                <w:szCs w:val="24"/>
              </w:rPr>
              <w:t>党和国家领导人作了肯定性批示、批语。</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18</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40" w:type="dxa"/>
            <w:vMerge w:val="continue"/>
            <w:noWrap/>
            <w:vAlign w:val="center"/>
          </w:tcPr>
          <w:p/>
        </w:tc>
        <w:tc>
          <w:tcPr>
            <w:tcW w:w="6117" w:type="dxa"/>
            <w:noWrap/>
            <w:vAlign w:val="center"/>
          </w:tcPr>
          <w:p>
            <w:pPr>
              <w:spacing w:line="440" w:lineRule="exact"/>
              <w:rPr>
                <w:rFonts w:ascii="楷体_GB2312" w:eastAsia="楷体_GB2312"/>
                <w:sz w:val="24"/>
                <w:szCs w:val="24"/>
              </w:rPr>
            </w:pPr>
            <w:r>
              <w:rPr>
                <w:rFonts w:hint="eastAsia" w:ascii="楷体_GB2312" w:eastAsia="楷体_GB2312"/>
                <w:sz w:val="24"/>
                <w:szCs w:val="24"/>
              </w:rPr>
              <w:t>省部级领导人作了肯定性批示、批语或被中央部委、省委、省政府有关文件、政策规定采纳、应用。</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16</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540" w:type="dxa"/>
            <w:vMerge w:val="continue"/>
            <w:noWrap/>
            <w:vAlign w:val="center"/>
          </w:tcPr>
          <w:p/>
        </w:tc>
        <w:tc>
          <w:tcPr>
            <w:tcW w:w="6117" w:type="dxa"/>
            <w:noWrap/>
            <w:vAlign w:val="center"/>
          </w:tcPr>
          <w:p>
            <w:pPr>
              <w:spacing w:line="440" w:lineRule="exact"/>
              <w:rPr>
                <w:rFonts w:ascii="楷体_GB2312" w:eastAsia="楷体_GB2312"/>
                <w:sz w:val="24"/>
                <w:szCs w:val="24"/>
              </w:rPr>
            </w:pPr>
            <w:r>
              <w:rPr>
                <w:rFonts w:hint="eastAsia" w:ascii="楷体_GB2312" w:eastAsia="楷体_GB2312"/>
                <w:sz w:val="24"/>
                <w:szCs w:val="24"/>
              </w:rPr>
              <w:t>省直部委、厅（局）、市州主要领导作了肯定性批示、批语或被省直部委、厅（局）、市州委、政府有关文件、政策规定采纳、应用。</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9</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40" w:type="dxa"/>
            <w:vMerge w:val="restart"/>
            <w:noWrap/>
            <w:vAlign w:val="center"/>
          </w:tcPr>
          <w:p>
            <w:pPr>
              <w:spacing w:line="280" w:lineRule="exact"/>
              <w:jc w:val="center"/>
              <w:rPr>
                <w:rFonts w:ascii="楷体_GB2312" w:eastAsia="楷体_GB2312"/>
                <w:sz w:val="28"/>
                <w:szCs w:val="28"/>
              </w:rPr>
            </w:pPr>
            <w:r>
              <w:rPr>
                <w:rFonts w:hint="eastAsia" w:ascii="楷体_GB2312" w:eastAsia="楷体_GB2312"/>
                <w:sz w:val="28"/>
                <w:szCs w:val="28"/>
              </w:rPr>
              <w:t>成果主要部分发表情况</w:t>
            </w:r>
          </w:p>
        </w:tc>
        <w:tc>
          <w:tcPr>
            <w:tcW w:w="6117" w:type="dxa"/>
            <w:noWrap/>
            <w:vAlign w:val="center"/>
          </w:tcPr>
          <w:p>
            <w:pPr>
              <w:spacing w:line="540" w:lineRule="exact"/>
              <w:rPr>
                <w:rFonts w:ascii="楷体_GB2312" w:eastAsia="楷体_GB2312"/>
                <w:sz w:val="24"/>
                <w:szCs w:val="24"/>
              </w:rPr>
            </w:pPr>
            <w:r>
              <w:rPr>
                <w:rFonts w:hint="eastAsia" w:ascii="楷体_GB2312" w:eastAsia="楷体_GB2312"/>
                <w:sz w:val="24"/>
                <w:szCs w:val="24"/>
              </w:rPr>
              <w:t>国家级权威报刊</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10</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40" w:type="dxa"/>
            <w:vMerge w:val="continue"/>
            <w:noWrap/>
            <w:vAlign w:val="center"/>
          </w:tcPr>
          <w:p/>
        </w:tc>
        <w:tc>
          <w:tcPr>
            <w:tcW w:w="6117" w:type="dxa"/>
            <w:noWrap/>
            <w:vAlign w:val="center"/>
          </w:tcPr>
          <w:p>
            <w:pPr>
              <w:spacing w:line="540" w:lineRule="exact"/>
              <w:rPr>
                <w:rFonts w:ascii="楷体_GB2312" w:eastAsia="楷体_GB2312"/>
                <w:sz w:val="24"/>
                <w:szCs w:val="24"/>
              </w:rPr>
            </w:pPr>
            <w:r>
              <w:rPr>
                <w:rFonts w:hint="eastAsia" w:ascii="楷体_GB2312" w:eastAsia="楷体_GB2312"/>
                <w:sz w:val="24"/>
                <w:szCs w:val="24"/>
              </w:rPr>
              <w:t>国家级核心报刊</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8</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540" w:type="dxa"/>
            <w:vMerge w:val="continue"/>
            <w:noWrap/>
            <w:vAlign w:val="center"/>
          </w:tcPr>
          <w:p/>
        </w:tc>
        <w:tc>
          <w:tcPr>
            <w:tcW w:w="6117" w:type="dxa"/>
            <w:noWrap/>
            <w:vAlign w:val="center"/>
          </w:tcPr>
          <w:p>
            <w:pPr>
              <w:spacing w:line="540" w:lineRule="exact"/>
              <w:rPr>
                <w:rFonts w:ascii="楷体_GB2312" w:eastAsia="楷体_GB2312"/>
                <w:sz w:val="24"/>
                <w:szCs w:val="24"/>
              </w:rPr>
            </w:pPr>
            <w:r>
              <w:rPr>
                <w:rFonts w:hint="eastAsia" w:ascii="楷体_GB2312" w:eastAsia="楷体_GB2312"/>
                <w:sz w:val="24"/>
                <w:szCs w:val="24"/>
              </w:rPr>
              <w:t>省级报刊</w:t>
            </w:r>
          </w:p>
        </w:tc>
        <w:tc>
          <w:tcPr>
            <w:tcW w:w="1083" w:type="dxa"/>
            <w:noWrap/>
            <w:vAlign w:val="center"/>
          </w:tcPr>
          <w:p>
            <w:pPr>
              <w:spacing w:line="540" w:lineRule="exact"/>
              <w:jc w:val="center"/>
              <w:rPr>
                <w:rFonts w:ascii="楷体_GB2312" w:eastAsia="楷体_GB2312"/>
                <w:b/>
                <w:sz w:val="28"/>
                <w:szCs w:val="28"/>
              </w:rPr>
            </w:pPr>
            <w:r>
              <w:rPr>
                <w:rFonts w:hint="eastAsia" w:ascii="楷体_GB2312" w:eastAsia="楷体_GB2312"/>
                <w:b/>
                <w:sz w:val="28"/>
                <w:szCs w:val="28"/>
              </w:rPr>
              <w:t>6</w:t>
            </w:r>
          </w:p>
        </w:tc>
        <w:tc>
          <w:tcPr>
            <w:tcW w:w="900" w:type="dxa"/>
            <w:noWrap/>
          </w:tcPr>
          <w:p>
            <w:pPr>
              <w:spacing w:line="540" w:lineRule="exact"/>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657" w:type="dxa"/>
            <w:gridSpan w:val="2"/>
            <w:noWrap/>
            <w:vAlign w:val="center"/>
          </w:tcPr>
          <w:p>
            <w:pPr>
              <w:spacing w:line="540" w:lineRule="exact"/>
              <w:rPr>
                <w:rFonts w:ascii="楷体_GB2312" w:eastAsia="楷体_GB2312"/>
                <w:sz w:val="24"/>
                <w:szCs w:val="24"/>
              </w:rPr>
            </w:pPr>
            <w:r>
              <w:rPr>
                <w:rFonts w:hint="eastAsia" w:ascii="楷体_GB2312" w:eastAsia="楷体_GB2312"/>
                <w:sz w:val="28"/>
                <w:szCs w:val="28"/>
              </w:rPr>
              <w:t>综合得分</w:t>
            </w:r>
          </w:p>
        </w:tc>
        <w:tc>
          <w:tcPr>
            <w:tcW w:w="1983" w:type="dxa"/>
            <w:gridSpan w:val="2"/>
            <w:noWrap/>
            <w:vAlign w:val="center"/>
          </w:tcPr>
          <w:p>
            <w:pPr>
              <w:spacing w:line="540" w:lineRule="exact"/>
              <w:rPr>
                <w:rFonts w:ascii="楷体_GB2312" w:eastAsia="楷体_GB2312"/>
                <w:sz w:val="28"/>
                <w:szCs w:val="28"/>
              </w:rPr>
            </w:pPr>
          </w:p>
        </w:tc>
      </w:tr>
    </w:tbl>
    <w:p>
      <w:pPr>
        <w:ind w:firstLine="7725" w:firstLineChars="2759"/>
        <w:rPr>
          <w:sz w:val="28"/>
          <w:szCs w:val="28"/>
        </w:rPr>
      </w:pPr>
      <w:r>
        <w:rPr>
          <w:rFonts w:hint="eastAsia"/>
          <w:sz w:val="28"/>
          <w:szCs w:val="28"/>
        </w:rPr>
        <w:t xml:space="preserve">表2 </w:t>
      </w:r>
    </w:p>
    <w:p>
      <w:pPr>
        <w:spacing w:line="400" w:lineRule="exact"/>
        <w:ind w:firstLine="560" w:firstLineChars="200"/>
        <w:rPr>
          <w:rFonts w:ascii="楷体_GB2312" w:eastAsia="楷体_GB2312"/>
          <w:spacing w:val="-6"/>
          <w:sz w:val="28"/>
          <w:szCs w:val="28"/>
        </w:rPr>
      </w:pPr>
      <w:r>
        <w:rPr>
          <w:rFonts w:hint="eastAsia" w:ascii="楷体_GB2312" w:eastAsia="楷体_GB2312"/>
          <w:sz w:val="28"/>
          <w:szCs w:val="28"/>
        </w:rPr>
        <w:t>注：</w:t>
      </w:r>
      <w:r>
        <w:rPr>
          <w:rFonts w:hint="eastAsia" w:ascii="楷体_GB2312" w:eastAsia="楷体_GB2312"/>
          <w:spacing w:val="-6"/>
          <w:sz w:val="28"/>
          <w:szCs w:val="28"/>
        </w:rPr>
        <w:t>1、评分表中得分合计为每个项目的最高分值之和。即：</w:t>
      </w:r>
    </w:p>
    <w:p>
      <w:pPr>
        <w:spacing w:line="400" w:lineRule="exact"/>
        <w:ind w:firstLine="536" w:firstLineChars="200"/>
        <w:rPr>
          <w:rFonts w:ascii="楷体_GB2312" w:eastAsia="楷体_GB2312"/>
          <w:sz w:val="28"/>
          <w:szCs w:val="28"/>
        </w:rPr>
      </w:pPr>
      <w:r>
        <w:rPr>
          <w:rFonts w:hint="eastAsia" w:ascii="楷体_GB2312" w:eastAsia="楷体_GB2312"/>
          <w:spacing w:val="-6"/>
          <w:sz w:val="28"/>
          <w:szCs w:val="28"/>
        </w:rPr>
        <w:t xml:space="preserve">16+10+10+14+22+18+10=100          </w:t>
      </w:r>
      <w:r>
        <w:rPr>
          <w:rFonts w:hint="eastAsia" w:ascii="楷体_GB2312" w:eastAsia="楷体_GB2312"/>
          <w:sz w:val="28"/>
          <w:szCs w:val="28"/>
        </w:rPr>
        <w:t xml:space="preserve">                      </w:t>
      </w:r>
    </w:p>
    <w:p>
      <w:pPr>
        <w:spacing w:line="400" w:lineRule="exact"/>
        <w:ind w:firstLine="536" w:firstLineChars="200"/>
        <w:rPr>
          <w:rFonts w:ascii="楷体_GB2312" w:eastAsia="楷体_GB2312"/>
          <w:spacing w:val="-6"/>
          <w:sz w:val="28"/>
          <w:szCs w:val="28"/>
        </w:rPr>
      </w:pPr>
      <w:r>
        <w:rPr>
          <w:rFonts w:hint="eastAsia" w:ascii="楷体_GB2312" w:eastAsia="楷体_GB2312"/>
          <w:spacing w:val="-6"/>
          <w:sz w:val="28"/>
          <w:szCs w:val="28"/>
        </w:rPr>
        <w:t>2、成果主要部分发表在多级报刊的按最高项分值计算，不得累计。</w:t>
      </w:r>
    </w:p>
    <w:p>
      <w:pPr>
        <w:spacing w:line="400" w:lineRule="exact"/>
        <w:ind w:firstLine="560" w:firstLineChars="200"/>
        <w:rPr>
          <w:rFonts w:ascii="楷体_GB2312" w:eastAsia="楷体_GB2312"/>
          <w:sz w:val="28"/>
          <w:szCs w:val="28"/>
        </w:rPr>
      </w:pPr>
      <w:r>
        <w:rPr>
          <w:rFonts w:hint="eastAsia" w:ascii="楷体_GB2312" w:eastAsia="楷体_GB2312"/>
          <w:sz w:val="28"/>
          <w:szCs w:val="28"/>
        </w:rPr>
        <w:t>3、报刊分级目录请参考甘人职[2014]33号文。</w:t>
      </w:r>
    </w:p>
    <w:p>
      <w:pPr>
        <w:spacing w:line="400" w:lineRule="exact"/>
        <w:rPr>
          <w:rFonts w:ascii="楷体_GB2312" w:eastAsia="楷体_GB2312"/>
          <w:sz w:val="28"/>
          <w:szCs w:val="28"/>
        </w:rPr>
      </w:pPr>
      <w:r>
        <w:rPr>
          <w:rFonts w:hint="eastAsia" w:ascii="楷体_GB2312" w:eastAsia="楷体_GB2312"/>
          <w:sz w:val="28"/>
          <w:szCs w:val="28"/>
        </w:rPr>
        <w:t>签名：</w:t>
      </w:r>
    </w:p>
    <w:p>
      <w:pPr>
        <w:spacing w:line="400" w:lineRule="exact"/>
        <w:rPr>
          <w:rFonts w:ascii="楷体_GB2312" w:eastAsia="楷体_GB2312"/>
          <w:sz w:val="28"/>
          <w:szCs w:val="28"/>
        </w:rPr>
      </w:pPr>
    </w:p>
    <w:p>
      <w:pPr>
        <w:spacing w:line="400" w:lineRule="exact"/>
        <w:ind w:firstLine="5040" w:firstLineChars="1800"/>
        <w:rPr>
          <w:rFonts w:ascii="仿宋_GB2312" w:eastAsia="仿宋_GB2312"/>
          <w:sz w:val="32"/>
          <w:szCs w:val="32"/>
        </w:rPr>
      </w:pPr>
      <w:r>
        <w:rPr>
          <w:rFonts w:hint="eastAsia" w:ascii="楷体_GB2312" w:eastAsia="楷体_GB2312"/>
          <w:sz w:val="28"/>
          <w:szCs w:val="28"/>
        </w:rPr>
        <w:t xml:space="preserve">  年    月    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C3A87"/>
    <w:rsid w:val="22D152CC"/>
    <w:rsid w:val="7F1C3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2020-12-16T02:38:00Z</dcterms:created>
  <dc:creator>社科处</dc:creator>
  <cp:lastModifiedBy>社科处</cp:lastModifiedBy>
  <dcterms:modified xsi:type="dcterms:W3CDTF">2020-12-16T02:41:19Z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