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仿宋" w:hAnsi="仿宋" w:eastAsia="仿宋" w:cs="华文仿宋"/>
          <w:bCs/>
          <w:sz w:val="32"/>
          <w:szCs w:val="32"/>
        </w:rPr>
      </w:pPr>
      <w:r>
        <w:rPr>
          <w:rFonts w:hint="eastAsia" w:ascii="仿宋" w:hAnsi="仿宋" w:eastAsia="仿宋" w:cs="华文仿宋"/>
          <w:bCs/>
          <w:sz w:val="32"/>
          <w:szCs w:val="32"/>
        </w:rPr>
        <w:t>附件</w:t>
      </w:r>
      <w:r>
        <w:rPr>
          <w:rFonts w:hint="eastAsia" w:ascii="仿宋" w:hAnsi="仿宋" w:eastAsia="仿宋" w:cs="华文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华文仿宋"/>
          <w:bCs/>
          <w:sz w:val="32"/>
          <w:szCs w:val="32"/>
        </w:rPr>
        <w:t>：</w:t>
      </w:r>
    </w:p>
    <w:p>
      <w:pPr>
        <w:spacing w:before="312" w:beforeLines="100" w:line="360" w:lineRule="exact"/>
        <w:jc w:val="center"/>
        <w:rPr>
          <w:rFonts w:ascii="黑体" w:hAnsi="黑体" w:eastAsia="黑体" w:cs="华文仿宋"/>
          <w:bCs/>
          <w:sz w:val="32"/>
          <w:szCs w:val="32"/>
        </w:rPr>
      </w:pPr>
      <w:r>
        <w:rPr>
          <w:rFonts w:hint="eastAsia" w:ascii="黑体" w:hAnsi="黑体" w:eastAsia="黑体" w:cs="华文仿宋"/>
          <w:bCs/>
          <w:sz w:val="32"/>
          <w:szCs w:val="32"/>
        </w:rPr>
        <w:t>大型仪器设备开放共享自评报告</w:t>
      </w:r>
    </w:p>
    <w:p>
      <w:pPr>
        <w:jc w:val="center"/>
        <w:rPr>
          <w:rFonts w:ascii="仿宋" w:hAnsi="仿宋" w:eastAsia="仿宋" w:cs="华文仿宋"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华文仿宋"/>
          <w:bCs/>
          <w:sz w:val="30"/>
          <w:szCs w:val="30"/>
        </w:rPr>
        <w:t>（</w:t>
      </w:r>
      <w:r>
        <w:rPr>
          <w:rFonts w:ascii="仿宋" w:hAnsi="仿宋" w:eastAsia="仿宋" w:cs="华文仿宋"/>
          <w:b/>
          <w:bCs/>
          <w:sz w:val="30"/>
          <w:szCs w:val="30"/>
        </w:rPr>
        <w:t>20</w:t>
      </w:r>
      <w:r>
        <w:rPr>
          <w:rFonts w:hint="eastAsia" w:ascii="仿宋" w:hAnsi="仿宋" w:eastAsia="仿宋" w:cs="华文仿宋"/>
          <w:b/>
          <w:bCs/>
          <w:sz w:val="30"/>
          <w:szCs w:val="30"/>
          <w:u w:val="single"/>
        </w:rPr>
        <w:t xml:space="preserve">  </w:t>
      </w:r>
      <w:r>
        <w:rPr>
          <w:rFonts w:ascii="仿宋" w:hAnsi="仿宋" w:eastAsia="仿宋" w:cs="华文仿宋"/>
          <w:b/>
          <w:bCs/>
          <w:sz w:val="30"/>
          <w:szCs w:val="30"/>
        </w:rPr>
        <w:t>年度</w:t>
      </w:r>
      <w:r>
        <w:rPr>
          <w:rFonts w:hint="eastAsia" w:ascii="仿宋" w:hAnsi="仿宋" w:eastAsia="仿宋" w:cs="华文仿宋"/>
          <w:bCs/>
          <w:sz w:val="30"/>
          <w:szCs w:val="30"/>
        </w:rPr>
        <w:t>）</w:t>
      </w:r>
    </w:p>
    <w:p>
      <w:pPr>
        <w:spacing w:before="312" w:beforeLines="100" w:line="360" w:lineRule="atLeast"/>
        <w:ind w:left="84" w:leftChars="40" w:firstLine="632" w:firstLineChars="200"/>
        <w:rPr>
          <w:rFonts w:ascii="仿宋_GB2312" w:hAnsi="仿宋_GB2312" w:eastAsia="仿宋_GB2312" w:cs="仿宋_GB2312"/>
          <w:color w:val="000000"/>
          <w:spacing w:val="8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pacing w:val="8"/>
          <w:sz w:val="30"/>
          <w:szCs w:val="30"/>
          <w:shd w:val="clear" w:color="auto" w:fill="FFFFFF"/>
        </w:rPr>
        <w:t>一、组织管理情况</w:t>
      </w:r>
      <w:r>
        <w:rPr>
          <w:rFonts w:hint="eastAsia" w:ascii="仿宋_GB2312" w:hAnsi="仿宋_GB2312" w:eastAsia="仿宋_GB2312" w:cs="仿宋_GB2312"/>
          <w:color w:val="000000"/>
          <w:spacing w:val="8"/>
          <w:sz w:val="30"/>
          <w:szCs w:val="30"/>
          <w:shd w:val="clear" w:color="auto" w:fill="FFFFFF"/>
        </w:rPr>
        <w:t>（</w:t>
      </w:r>
      <w:r>
        <w:rPr>
          <w:rFonts w:hint="eastAsia" w:ascii="楷体" w:hAnsi="楷体" w:eastAsia="楷体" w:cs="仿宋_GB2312"/>
          <w:color w:val="000000"/>
          <w:spacing w:val="8"/>
          <w:sz w:val="24"/>
          <w:shd w:val="clear" w:color="auto" w:fill="FFFFFF"/>
        </w:rPr>
        <w:t>单位开放共享管理制度建设情况；实验队伍建设情况；集约化管理情况等。</w:t>
      </w:r>
      <w:r>
        <w:rPr>
          <w:rFonts w:hint="eastAsia" w:ascii="仿宋_GB2312" w:hAnsi="仿宋_GB2312" w:eastAsia="仿宋_GB2312" w:cs="仿宋_GB2312"/>
          <w:color w:val="000000"/>
          <w:spacing w:val="8"/>
          <w:sz w:val="30"/>
          <w:szCs w:val="30"/>
          <w:shd w:val="clear" w:color="auto" w:fill="FFFFFF"/>
        </w:rPr>
        <w:t>）</w:t>
      </w:r>
    </w:p>
    <w:p>
      <w:pPr>
        <w:spacing w:before="312" w:beforeLines="100" w:line="360" w:lineRule="atLeast"/>
        <w:ind w:left="84" w:leftChars="40" w:firstLine="632" w:firstLineChars="200"/>
        <w:rPr>
          <w:rFonts w:ascii="仿宋_GB2312" w:hAnsi="仿宋_GB2312" w:eastAsia="仿宋_GB2312" w:cs="仿宋_GB2312"/>
          <w:color w:val="000000"/>
          <w:spacing w:val="8"/>
          <w:sz w:val="30"/>
          <w:szCs w:val="30"/>
          <w:shd w:val="clear" w:color="auto" w:fill="FFFFFF"/>
        </w:rPr>
      </w:pPr>
    </w:p>
    <w:p>
      <w:pPr>
        <w:spacing w:line="360" w:lineRule="atLeast"/>
        <w:ind w:left="84" w:leftChars="40" w:firstLine="632" w:firstLineChars="200"/>
        <w:rPr>
          <w:rFonts w:ascii="仿宋_GB2312" w:hAnsi="仿宋_GB2312" w:eastAsia="仿宋_GB2312" w:cs="仿宋_GB2312"/>
          <w:color w:val="000000"/>
          <w:spacing w:val="8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pacing w:val="8"/>
          <w:sz w:val="30"/>
          <w:szCs w:val="30"/>
          <w:shd w:val="clear" w:color="auto" w:fill="FFFFFF"/>
        </w:rPr>
        <w:t>二、运行使用情况</w:t>
      </w:r>
      <w:r>
        <w:rPr>
          <w:rFonts w:hint="eastAsia" w:ascii="仿宋_GB2312" w:hAnsi="仿宋_GB2312" w:eastAsia="仿宋_GB2312" w:cs="仿宋_GB2312"/>
          <w:color w:val="000000"/>
          <w:spacing w:val="8"/>
          <w:sz w:val="30"/>
          <w:szCs w:val="30"/>
          <w:shd w:val="clear" w:color="auto" w:fill="FFFFFF"/>
        </w:rPr>
        <w:t>（</w:t>
      </w:r>
      <w:r>
        <w:rPr>
          <w:rFonts w:hint="eastAsia" w:ascii="楷体" w:hAnsi="楷体" w:eastAsia="楷体" w:cs="仿宋_GB2312"/>
          <w:color w:val="000000"/>
          <w:spacing w:val="8"/>
          <w:sz w:val="24"/>
          <w:shd w:val="clear" w:color="auto" w:fill="FFFFFF"/>
        </w:rPr>
        <w:t>单位大型仪器设备基本信息，包括应开放仪器数量、名称、原值和经费来源，纳入学校及国家网络管理平台仪器情况；开放共享仪器年度有效运行使用情况等。</w:t>
      </w:r>
      <w:r>
        <w:rPr>
          <w:rFonts w:hint="eastAsia" w:ascii="仿宋_GB2312" w:hAnsi="仿宋_GB2312" w:eastAsia="仿宋_GB2312" w:cs="仿宋_GB2312"/>
          <w:color w:val="000000"/>
          <w:spacing w:val="8"/>
          <w:sz w:val="30"/>
          <w:szCs w:val="30"/>
          <w:shd w:val="clear" w:color="auto" w:fill="FFFFFF"/>
        </w:rPr>
        <w:t>）</w:t>
      </w:r>
    </w:p>
    <w:p>
      <w:pPr>
        <w:spacing w:line="360" w:lineRule="atLeast"/>
        <w:ind w:left="84" w:leftChars="40" w:firstLine="632" w:firstLineChars="200"/>
        <w:rPr>
          <w:rFonts w:ascii="黑体" w:hAnsi="黑体" w:eastAsia="黑体" w:cs="仿宋_GB2312"/>
          <w:color w:val="000000"/>
          <w:spacing w:val="8"/>
          <w:sz w:val="30"/>
          <w:szCs w:val="30"/>
          <w:shd w:val="clear" w:color="auto" w:fill="FFFFFF"/>
        </w:rPr>
      </w:pPr>
    </w:p>
    <w:p>
      <w:pPr>
        <w:spacing w:line="360" w:lineRule="atLeast"/>
        <w:ind w:firstLine="632" w:firstLineChars="200"/>
        <w:rPr>
          <w:rFonts w:ascii="仿宋_GB2312" w:hAnsi="仿宋_GB2312" w:eastAsia="仿宋_GB2312" w:cs="仿宋_GB2312"/>
          <w:color w:val="000000"/>
          <w:spacing w:val="8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pacing w:val="8"/>
          <w:sz w:val="30"/>
          <w:szCs w:val="30"/>
          <w:shd w:val="clear" w:color="auto" w:fill="FFFFFF"/>
        </w:rPr>
        <w:t>三、共享服务成效</w:t>
      </w:r>
      <w:r>
        <w:rPr>
          <w:rFonts w:hint="eastAsia" w:ascii="仿宋_GB2312" w:hAnsi="仿宋_GB2312" w:eastAsia="仿宋_GB2312" w:cs="仿宋_GB2312"/>
          <w:color w:val="000000"/>
          <w:spacing w:val="8"/>
          <w:sz w:val="30"/>
          <w:szCs w:val="30"/>
          <w:shd w:val="clear" w:color="auto" w:fill="FFFFFF"/>
        </w:rPr>
        <w:t>（</w:t>
      </w:r>
      <w:r>
        <w:rPr>
          <w:rFonts w:hint="eastAsia" w:ascii="楷体" w:hAnsi="楷体" w:eastAsia="楷体" w:cs="仿宋_GB2312"/>
          <w:color w:val="000000"/>
          <w:spacing w:val="8"/>
          <w:sz w:val="24"/>
          <w:shd w:val="clear" w:color="auto" w:fill="FFFFFF"/>
        </w:rPr>
        <w:t>大型仪器设备开放共享服务机时和收入情况；取得的成绩和成果等。</w:t>
      </w:r>
      <w:r>
        <w:rPr>
          <w:rFonts w:hint="eastAsia" w:ascii="仿宋_GB2312" w:hAnsi="仿宋_GB2312" w:eastAsia="仿宋_GB2312" w:cs="仿宋_GB2312"/>
          <w:color w:val="000000"/>
          <w:spacing w:val="8"/>
          <w:sz w:val="30"/>
          <w:szCs w:val="30"/>
          <w:shd w:val="clear" w:color="auto" w:fill="FFFFFF"/>
        </w:rPr>
        <w:t>）</w:t>
      </w:r>
    </w:p>
    <w:p>
      <w:pPr>
        <w:spacing w:line="520" w:lineRule="exact"/>
        <w:rPr>
          <w:rFonts w:ascii="仿宋_GB2312" w:hAnsi="仿宋_GB2312" w:eastAsia="仿宋_GB2312" w:cs="仿宋_GB2312"/>
          <w:color w:val="000000"/>
          <w:spacing w:val="8"/>
          <w:sz w:val="30"/>
          <w:szCs w:val="30"/>
          <w:shd w:val="clear" w:color="auto" w:fill="FFFFFF"/>
        </w:rPr>
      </w:pPr>
    </w:p>
    <w:p>
      <w:pPr>
        <w:spacing w:line="520" w:lineRule="exact"/>
        <w:rPr>
          <w:rFonts w:ascii="仿宋_GB2312" w:hAnsi="仿宋_GB2312" w:eastAsia="仿宋_GB2312" w:cs="仿宋_GB2312"/>
          <w:color w:val="000000"/>
          <w:spacing w:val="8"/>
          <w:sz w:val="30"/>
          <w:szCs w:val="30"/>
          <w:shd w:val="clear" w:color="auto" w:fill="FFFFFF"/>
        </w:rPr>
      </w:pPr>
    </w:p>
    <w:p>
      <w:pPr>
        <w:spacing w:line="520" w:lineRule="exact"/>
        <w:rPr>
          <w:rFonts w:ascii="仿宋_GB2312" w:hAnsi="仿宋_GB2312" w:eastAsia="仿宋_GB2312" w:cs="仿宋_GB2312"/>
          <w:color w:val="000000"/>
          <w:spacing w:val="8"/>
          <w:sz w:val="30"/>
          <w:szCs w:val="30"/>
          <w:shd w:val="clear" w:color="auto" w:fill="FFFFFF"/>
        </w:rPr>
      </w:pPr>
    </w:p>
    <w:p>
      <w:pPr>
        <w:spacing w:line="520" w:lineRule="exact"/>
        <w:rPr>
          <w:rFonts w:ascii="仿宋_GB2312" w:hAnsi="仿宋_GB2312" w:eastAsia="仿宋_GB2312" w:cs="仿宋_GB2312"/>
          <w:color w:val="000000"/>
          <w:spacing w:val="8"/>
          <w:sz w:val="30"/>
          <w:szCs w:val="30"/>
          <w:shd w:val="clear" w:color="auto" w:fill="FFFFFF"/>
        </w:rPr>
      </w:pPr>
    </w:p>
    <w:p>
      <w:pPr>
        <w:spacing w:line="520" w:lineRule="exact"/>
        <w:rPr>
          <w:rFonts w:ascii="仿宋_GB2312" w:hAnsi="仿宋_GB2312" w:eastAsia="仿宋_GB2312" w:cs="仿宋_GB2312"/>
          <w:color w:val="000000"/>
          <w:spacing w:val="8"/>
          <w:sz w:val="30"/>
          <w:szCs w:val="30"/>
          <w:shd w:val="clear" w:color="auto" w:fill="FFFFFF"/>
        </w:rPr>
      </w:pPr>
    </w:p>
    <w:p>
      <w:pPr>
        <w:spacing w:line="520" w:lineRule="exact"/>
        <w:rPr>
          <w:rFonts w:ascii="黑体" w:hAnsi="黑体" w:eastAsia="黑体" w:cs="仿宋_GB2312"/>
          <w:color w:val="000000"/>
          <w:spacing w:val="8"/>
          <w:sz w:val="24"/>
          <w:shd w:val="clear" w:color="auto" w:fill="FFFFFF"/>
        </w:rPr>
      </w:pPr>
    </w:p>
    <w:p>
      <w:pPr>
        <w:spacing w:line="520" w:lineRule="exact"/>
        <w:rPr>
          <w:rFonts w:ascii="黑体" w:hAnsi="黑体" w:eastAsia="黑体" w:cs="仿宋_GB2312"/>
          <w:color w:val="000000"/>
          <w:spacing w:val="8"/>
          <w:sz w:val="24"/>
          <w:shd w:val="clear" w:color="auto" w:fill="FFFFFF"/>
        </w:rPr>
      </w:pPr>
    </w:p>
    <w:p>
      <w:pPr>
        <w:spacing w:line="520" w:lineRule="exact"/>
        <w:ind w:firstLine="1280" w:firstLineChars="500"/>
        <w:rPr>
          <w:rFonts w:ascii="黑体" w:hAnsi="黑体" w:eastAsia="黑体" w:cs="仿宋_GB2312"/>
          <w:color w:val="000000"/>
          <w:spacing w:val="8"/>
          <w:sz w:val="24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pacing w:val="8"/>
          <w:sz w:val="24"/>
          <w:shd w:val="clear" w:color="auto" w:fill="FFFFFF"/>
        </w:rPr>
        <w:t>负责人签字：</w:t>
      </w:r>
    </w:p>
    <w:p>
      <w:pPr>
        <w:spacing w:line="520" w:lineRule="exact"/>
        <w:ind w:firstLine="6400" w:firstLineChars="2500"/>
        <w:rPr>
          <w:rFonts w:ascii="黑体" w:hAnsi="黑体" w:eastAsia="黑体" w:cs="仿宋_GB2312"/>
          <w:color w:val="000000"/>
          <w:spacing w:val="8"/>
          <w:sz w:val="24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pacing w:val="8"/>
          <w:sz w:val="24"/>
          <w:shd w:val="clear" w:color="auto" w:fill="FFFFFF"/>
        </w:rPr>
        <w:t>（公章）</w:t>
      </w:r>
    </w:p>
    <w:p>
      <w:pPr>
        <w:wordWrap w:val="0"/>
        <w:spacing w:line="520" w:lineRule="exact"/>
        <w:ind w:left="84" w:leftChars="40" w:firstLine="5199" w:firstLineChars="2031"/>
        <w:jc w:val="right"/>
        <w:rPr>
          <w:rFonts w:ascii="黑体" w:hAnsi="黑体" w:eastAsia="黑体" w:cs="仿宋_GB2312"/>
          <w:color w:val="000000"/>
          <w:sz w:val="24"/>
        </w:rPr>
      </w:pPr>
      <w:r>
        <w:rPr>
          <w:rFonts w:hint="eastAsia" w:ascii="黑体" w:hAnsi="黑体" w:eastAsia="黑体" w:cs="仿宋_GB2312"/>
          <w:color w:val="000000"/>
          <w:spacing w:val="8"/>
          <w:sz w:val="24"/>
          <w:shd w:val="clear" w:color="auto" w:fill="FFFFFF"/>
        </w:rPr>
        <w:t xml:space="preserve">年    月   日    </w:t>
      </w:r>
    </w:p>
    <w:p>
      <w:pPr>
        <w:spacing w:line="280" w:lineRule="exact"/>
        <w:ind w:left="-710" w:leftChars="-338" w:right="-764" w:rightChars="-364" w:firstLine="240" w:firstLineChars="100"/>
        <w:rPr>
          <w:rFonts w:ascii="仿宋" w:hAnsi="仿宋" w:eastAsia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2019-12-26T09:23:03Z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